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603BFB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603BFB">
        <w:rPr>
          <w:iCs/>
          <w:sz w:val="20"/>
          <w:szCs w:val="20"/>
        </w:rPr>
        <w:t xml:space="preserve">Gliwice, </w:t>
      </w:r>
      <w:r w:rsidR="008A4FC5" w:rsidRPr="00603BFB">
        <w:rPr>
          <w:iCs/>
          <w:sz w:val="20"/>
          <w:szCs w:val="20"/>
        </w:rPr>
        <w:t>13</w:t>
      </w:r>
      <w:r w:rsidR="00FB114B" w:rsidRPr="00603BFB">
        <w:rPr>
          <w:sz w:val="20"/>
          <w:szCs w:val="20"/>
          <w:lang w:val="en-US"/>
        </w:rPr>
        <w:t xml:space="preserve">.01.2025 r. </w:t>
      </w:r>
    </w:p>
    <w:p w:rsidR="00E9773F" w:rsidRPr="00603BFB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603BFB">
        <w:rPr>
          <w:b/>
          <w:bCs/>
          <w:sz w:val="12"/>
          <w:szCs w:val="12"/>
        </w:rPr>
        <w:t xml:space="preserve">UM.30220.2025/AS </w:t>
      </w:r>
      <w:r w:rsidR="00603BFB" w:rsidRPr="00603BFB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25pt;height:13.1pt;visibility:visible;mso-wrap-style:square">
            <v:imagedata r:id="rId7" o:title=""/>
            <o:lock v:ext="edit" aspectratio="f"/>
          </v:shape>
        </w:pict>
      </w:r>
    </w:p>
    <w:p w:rsidR="00055A2A" w:rsidRPr="00603BFB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 w:rsidRPr="00603BFB">
        <w:rPr>
          <w:iCs/>
          <w:sz w:val="18"/>
          <w:szCs w:val="20"/>
        </w:rPr>
        <w:t xml:space="preserve">Znak sprawy: SR.6220.1.43.2024 </w:t>
      </w:r>
    </w:p>
    <w:p w:rsidR="00B66FE3" w:rsidRPr="00603BFB" w:rsidRDefault="00B66FE3" w:rsidP="00B66FE3">
      <w:pPr>
        <w:pStyle w:val="Nagwek2"/>
        <w:spacing w:before="240"/>
        <w:rPr>
          <w:rFonts w:ascii="Verdana" w:hAnsi="Verdana"/>
        </w:rPr>
      </w:pPr>
      <w:r w:rsidRPr="00603BFB">
        <w:rPr>
          <w:rFonts w:ascii="Verdana" w:hAnsi="Verdana"/>
        </w:rPr>
        <w:t>Decyzja Nr ŚR-</w:t>
      </w:r>
      <w:r w:rsidR="00603BFB" w:rsidRPr="00603BFB">
        <w:rPr>
          <w:rFonts w:ascii="Verdana" w:hAnsi="Verdana"/>
        </w:rPr>
        <w:t>19</w:t>
      </w:r>
      <w:r w:rsidRPr="00603BFB">
        <w:rPr>
          <w:rFonts w:ascii="Verdana" w:hAnsi="Verdana"/>
        </w:rPr>
        <w:t>/2025</w:t>
      </w:r>
    </w:p>
    <w:p w:rsidR="00B66FE3" w:rsidRPr="00603BFB" w:rsidRDefault="00B66FE3" w:rsidP="00B66FE3">
      <w:pPr>
        <w:pStyle w:val="Nagwek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603BFB">
        <w:rPr>
          <w:rFonts w:ascii="Verdana" w:hAnsi="Verdana"/>
          <w:sz w:val="24"/>
          <w:szCs w:val="24"/>
        </w:rPr>
        <w:t>o środowiskowych uwarunkowaniach</w:t>
      </w:r>
    </w:p>
    <w:p w:rsidR="00B66FE3" w:rsidRPr="00603BFB" w:rsidRDefault="00B66FE3" w:rsidP="00B66FE3">
      <w:pPr>
        <w:ind w:firstLine="425"/>
        <w:jc w:val="both"/>
        <w:rPr>
          <w:sz w:val="20"/>
          <w:szCs w:val="20"/>
        </w:rPr>
      </w:pPr>
      <w:r w:rsidRPr="00603BFB">
        <w:rPr>
          <w:sz w:val="20"/>
          <w:szCs w:val="20"/>
        </w:rPr>
        <w:t xml:space="preserve">Na podstawie art. 71 ust. 2 pkt 2, art. 72 ust. 1 i 1a art. 75 ust. 1 pkt 4, art. 84 ustawy z dnia 3 października 2008 r. o udostępnianiu informacji o środowisku i jego ochronie, udziale społeczeństwa w ochronie środowiska oraz o ocenach oddziaływania na środowisko (j.t. Dz.U. z 2024 r. poz. 1112 ze zmianami), w związku z art. 104 ustawy z dnia 14 czerwca 1960 r. Kodeks postępowania administracyjnego </w:t>
      </w:r>
      <w:r w:rsidRPr="00603BFB">
        <w:rPr>
          <w:rStyle w:val="TekstpodstawowyZnak"/>
          <w:rFonts w:ascii="Verdana" w:eastAsia="Verdana" w:hAnsi="Verdana"/>
          <w:sz w:val="20"/>
          <w:szCs w:val="20"/>
        </w:rPr>
        <w:t xml:space="preserve">(j.t. Dz.U. z 2024 r. poz. 572 ze zmianami) </w:t>
      </w:r>
      <w:bookmarkStart w:id="0" w:name="_Hlk108437495"/>
      <w:bookmarkStart w:id="1" w:name="_Hlk145416292"/>
      <w:r w:rsidRPr="00603BFB">
        <w:rPr>
          <w:sz w:val="20"/>
          <w:szCs w:val="20"/>
        </w:rPr>
        <w:t xml:space="preserve">po rozpatrzeniu wniosku </w:t>
      </w:r>
      <w:bookmarkStart w:id="2" w:name="_Hlk125723393"/>
      <w:bookmarkEnd w:id="0"/>
      <w:r w:rsidRPr="00603BFB">
        <w:rPr>
          <w:sz w:val="20"/>
          <w:szCs w:val="20"/>
        </w:rPr>
        <w:t xml:space="preserve">z dnia 31.07.2024 r. spółki: </w:t>
      </w:r>
      <w:r w:rsidRPr="00603BFB">
        <w:rPr>
          <w:rFonts w:cs="Arial"/>
          <w:bCs/>
          <w:sz w:val="20"/>
          <w:szCs w:val="20"/>
        </w:rPr>
        <w:t>GRUPA WĘGLOSTAL Sp. z o.o. z siedzibą: ul. Chorzowska 50B, 44-100 Gliwice</w:t>
      </w:r>
      <w:r w:rsidRPr="00603BFB">
        <w:rPr>
          <w:bCs/>
          <w:sz w:val="20"/>
          <w:szCs w:val="20"/>
        </w:rPr>
        <w:t xml:space="preserve">, w imieniu której działa pełnomocnik, w sprawie wydania decyzji </w:t>
      </w:r>
      <w:r w:rsidRPr="00603BFB">
        <w:rPr>
          <w:sz w:val="20"/>
          <w:szCs w:val="20"/>
        </w:rPr>
        <w:t>o środowiskowych uwarunkowaniach</w:t>
      </w:r>
      <w:r w:rsidRPr="00603BFB">
        <w:rPr>
          <w:bCs/>
          <w:sz w:val="20"/>
          <w:szCs w:val="20"/>
        </w:rPr>
        <w:t xml:space="preserve"> </w:t>
      </w:r>
      <w:r w:rsidRPr="00603BFB">
        <w:rPr>
          <w:sz w:val="20"/>
          <w:szCs w:val="20"/>
        </w:rPr>
        <w:t xml:space="preserve">dla przedsięwzięcia pn.: </w:t>
      </w:r>
    </w:p>
    <w:p w:rsidR="00B66FE3" w:rsidRPr="00603BFB" w:rsidRDefault="00B66FE3" w:rsidP="00B66FE3">
      <w:pPr>
        <w:spacing w:before="120" w:after="120"/>
        <w:jc w:val="center"/>
        <w:rPr>
          <w:b/>
          <w:sz w:val="20"/>
          <w:szCs w:val="20"/>
        </w:rPr>
      </w:pPr>
      <w:bookmarkStart w:id="3" w:name="_Hlk171930074"/>
      <w:r w:rsidRPr="00603BFB">
        <w:rPr>
          <w:b/>
          <w:sz w:val="20"/>
          <w:szCs w:val="20"/>
        </w:rPr>
        <w:t xml:space="preserve">„Wdrożenie na rynek substancji i mieszanin wspomagających procesy oczyszczania ścieków oraz uzdatniania wody” - ul. Chorzowska 44C, Gliwice, dz. 179, </w:t>
      </w:r>
      <w:proofErr w:type="spellStart"/>
      <w:r w:rsidRPr="00603BFB">
        <w:rPr>
          <w:b/>
          <w:sz w:val="20"/>
          <w:szCs w:val="20"/>
        </w:rPr>
        <w:t>obr</w:t>
      </w:r>
      <w:proofErr w:type="spellEnd"/>
      <w:r w:rsidRPr="00603BFB">
        <w:rPr>
          <w:b/>
          <w:sz w:val="20"/>
          <w:szCs w:val="20"/>
        </w:rPr>
        <w:t>. Kolej</w:t>
      </w:r>
      <w:bookmarkEnd w:id="3"/>
      <w:r w:rsidRPr="00603BFB">
        <w:rPr>
          <w:b/>
          <w:iCs/>
          <w:sz w:val="20"/>
          <w:szCs w:val="20"/>
        </w:rPr>
        <w:t>,</w:t>
      </w:r>
    </w:p>
    <w:bookmarkEnd w:id="1"/>
    <w:bookmarkEnd w:id="2"/>
    <w:p w:rsidR="00B66FE3" w:rsidRPr="00603BFB" w:rsidRDefault="00B66FE3" w:rsidP="00B66FE3">
      <w:pPr>
        <w:numPr>
          <w:ilvl w:val="0"/>
          <w:numId w:val="2"/>
        </w:numPr>
        <w:tabs>
          <w:tab w:val="clear" w:pos="0"/>
        </w:tabs>
        <w:ind w:left="426" w:hanging="426"/>
        <w:jc w:val="both"/>
        <w:rPr>
          <w:b/>
          <w:sz w:val="20"/>
          <w:szCs w:val="20"/>
        </w:rPr>
      </w:pPr>
      <w:r w:rsidRPr="00603BFB">
        <w:rPr>
          <w:b/>
          <w:sz w:val="20"/>
          <w:szCs w:val="20"/>
        </w:rPr>
        <w:t xml:space="preserve">stwierdzam brak potrzeby przeprowadzenia oceny oddziaływania planowanego przedsięwzięcia na środowisko, </w:t>
      </w:r>
    </w:p>
    <w:p w:rsidR="00B66FE3" w:rsidRPr="00603BFB" w:rsidRDefault="00B66FE3" w:rsidP="00B66FE3">
      <w:pPr>
        <w:numPr>
          <w:ilvl w:val="0"/>
          <w:numId w:val="2"/>
        </w:numPr>
        <w:tabs>
          <w:tab w:val="clear" w:pos="0"/>
        </w:tabs>
        <w:spacing w:before="120"/>
        <w:ind w:left="426" w:hanging="426"/>
        <w:jc w:val="both"/>
        <w:rPr>
          <w:b/>
          <w:sz w:val="20"/>
          <w:szCs w:val="20"/>
        </w:rPr>
      </w:pPr>
      <w:r w:rsidRPr="00603BFB">
        <w:rPr>
          <w:rFonts w:cs="Arial"/>
          <w:b/>
          <w:sz w:val="20"/>
          <w:szCs w:val="20"/>
        </w:rPr>
        <w:t xml:space="preserve">określam istotne </w:t>
      </w:r>
      <w:r w:rsidRPr="00603BFB">
        <w:rPr>
          <w:b/>
          <w:sz w:val="20"/>
          <w:szCs w:val="20"/>
        </w:rPr>
        <w:t>warunki realizacji przedsięwzięcia</w:t>
      </w:r>
      <w:r w:rsidRPr="00603BFB">
        <w:rPr>
          <w:rFonts w:cs="Arial"/>
          <w:b/>
          <w:sz w:val="20"/>
          <w:szCs w:val="20"/>
        </w:rPr>
        <w:t>:</w:t>
      </w:r>
    </w:p>
    <w:p w:rsidR="00B66FE3" w:rsidRPr="00603BFB" w:rsidRDefault="00B66FE3" w:rsidP="00B66FE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 </w:t>
      </w:r>
      <w:r w:rsidRPr="00603BFB">
        <w:rPr>
          <w:sz w:val="20"/>
          <w:szCs w:val="20"/>
        </w:rPr>
        <w:t>sytuacjach awaryjnych (np. wyciek paliwa, oleju) należy podjąć niezwłoczne działania mające na celu zapobieganie przenikaniu zanieczyszczeń do wód powierzchniowych i podziemnych (np. poprzez unieszkodliwienie wycieku za pomocą odpowiednich sorbentów)</w:t>
      </w:r>
      <w:r w:rsidRPr="00603BFB">
        <w:rPr>
          <w:rFonts w:cs="ArialMT"/>
          <w:sz w:val="20"/>
          <w:szCs w:val="20"/>
        </w:rPr>
        <w:t>.</w:t>
      </w:r>
    </w:p>
    <w:p w:rsidR="00B66FE3" w:rsidRPr="00603BFB" w:rsidRDefault="00B66FE3" w:rsidP="00B66FE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Odpady </w:t>
      </w:r>
      <w:r w:rsidRPr="00603BFB">
        <w:rPr>
          <w:sz w:val="20"/>
          <w:szCs w:val="20"/>
        </w:rPr>
        <w:t>niebezpieczne powstające podczas realizacji przedsięwzięcia magazynować selektywnie w miejscach do tego wyznaczonych posiadających uszczelnioną nawierzchnię, a następnie przekazywać wyspecjalizowanym firmom do odzysku lub unieszkodliwienia.</w:t>
      </w:r>
    </w:p>
    <w:p w:rsidR="00B66FE3" w:rsidRPr="00603BFB" w:rsidRDefault="00B66FE3" w:rsidP="00B66FE3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Magazynowanie wykorzystywanych w planowanej instalacji substancji oraz przeładunek produktu do cystern samochodowych wykonywać na szczelnej nawierzchni wewnątrz hal, wyposażonej w odwodnienie do szczelnego zbiornika bezodpływowego.</w:t>
      </w:r>
    </w:p>
    <w:p w:rsidR="00B66FE3" w:rsidRPr="00603BFB" w:rsidRDefault="00B66FE3" w:rsidP="00B66FE3">
      <w:pPr>
        <w:pStyle w:val="Tekstpodstawowy"/>
        <w:keepNext/>
        <w:spacing w:before="120"/>
        <w:jc w:val="center"/>
        <w:rPr>
          <w:rFonts w:ascii="Verdana" w:hAnsi="Verdana" w:cs="Verdana"/>
          <w:b/>
          <w:sz w:val="22"/>
          <w:szCs w:val="22"/>
        </w:rPr>
      </w:pPr>
      <w:r w:rsidRPr="00603BFB">
        <w:rPr>
          <w:rFonts w:ascii="Verdana" w:hAnsi="Verdana" w:cs="Verdana"/>
          <w:b/>
          <w:sz w:val="22"/>
          <w:szCs w:val="22"/>
        </w:rPr>
        <w:t>Uzasadnienie</w:t>
      </w:r>
    </w:p>
    <w:p w:rsidR="00B66FE3" w:rsidRPr="00603BFB" w:rsidRDefault="00B66FE3" w:rsidP="00B66FE3">
      <w:pPr>
        <w:ind w:firstLine="426"/>
        <w:jc w:val="both"/>
        <w:rPr>
          <w:sz w:val="20"/>
          <w:szCs w:val="20"/>
        </w:rPr>
      </w:pPr>
      <w:r w:rsidRPr="00603BFB">
        <w:rPr>
          <w:rFonts w:cs="Arial"/>
          <w:bCs/>
          <w:sz w:val="20"/>
          <w:szCs w:val="20"/>
        </w:rPr>
        <w:t>GRUPA WĘGLOSTAL Sp. z o.o. z siedzibą: ul. Chorzowska 50B, 44-100 Gliwice</w:t>
      </w:r>
      <w:r w:rsidRPr="00603BFB">
        <w:rPr>
          <w:bCs/>
          <w:sz w:val="20"/>
          <w:szCs w:val="20"/>
        </w:rPr>
        <w:t>, w imieniu której działa pełnomocnik,</w:t>
      </w:r>
      <w:r w:rsidRPr="00603BFB">
        <w:rPr>
          <w:sz w:val="20"/>
          <w:szCs w:val="20"/>
        </w:rPr>
        <w:t xml:space="preserve"> wystąpiła wnioskiem z dnia 31.07.2024 r. o wydanie</w:t>
      </w:r>
      <w:r w:rsidRPr="00603BFB">
        <w:rPr>
          <w:bCs/>
          <w:sz w:val="20"/>
          <w:szCs w:val="20"/>
        </w:rPr>
        <w:t xml:space="preserve"> decyzji o środowiskowych uwarunkowaniach dla przedsięwzięcia pn.: </w:t>
      </w:r>
      <w:r w:rsidRPr="00603BFB">
        <w:rPr>
          <w:iCs/>
          <w:spacing w:val="-4"/>
          <w:sz w:val="20"/>
          <w:szCs w:val="20"/>
        </w:rPr>
        <w:t>„</w:t>
      </w:r>
      <w:r w:rsidRPr="00603BFB">
        <w:rPr>
          <w:sz w:val="20"/>
          <w:szCs w:val="20"/>
        </w:rPr>
        <w:t xml:space="preserve">Wdrożenie na rynek substancji i mieszanin wspomagających procesy oczyszczania ścieków oraz uzdatniania wody” - ul. Chorzowska 44C, Gliwice, dz. 179, </w:t>
      </w:r>
      <w:proofErr w:type="spellStart"/>
      <w:r w:rsidRPr="00603BFB">
        <w:rPr>
          <w:sz w:val="20"/>
          <w:szCs w:val="20"/>
        </w:rPr>
        <w:t>obr</w:t>
      </w:r>
      <w:proofErr w:type="spellEnd"/>
      <w:r w:rsidRPr="00603BFB">
        <w:rPr>
          <w:sz w:val="20"/>
          <w:szCs w:val="20"/>
        </w:rPr>
        <w:t>. Kolej</w:t>
      </w:r>
      <w:r w:rsidRPr="00603BFB">
        <w:rPr>
          <w:iCs/>
          <w:spacing w:val="-4"/>
          <w:sz w:val="20"/>
          <w:szCs w:val="20"/>
        </w:rPr>
        <w:t xml:space="preserve">. 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Planowane zamierzenie polega na budowie instalacji do produkcji substancji i mieszanin wspomagających procesy oczyszczania ścieków oraz uzdatniania wody poprzez mieszanie produktów/półproduktów chemicznych i zostało zakwalifikowane do przedsięwzięć mogących potencjalnie znacząco oddziaływać na środowisko, zgodnie z § 3 ust. 1 pkt 1 Rozporządzenia Rady Ministrów z dnia 10 września 2019 r. w sprawie </w:t>
      </w:r>
      <w:r w:rsidRPr="00603BFB">
        <w:rPr>
          <w:rFonts w:cs="ArialMT"/>
          <w:sz w:val="20"/>
          <w:szCs w:val="20"/>
        </w:rPr>
        <w:lastRenderedPageBreak/>
        <w:t xml:space="preserve">przedsięwzięć mogących znacząco oddziaływać na środowisko (Dz. U. z 2019 r., poz. 1839 ze zm.): </w:t>
      </w:r>
      <w:r w:rsidRPr="00603BFB">
        <w:rPr>
          <w:rFonts w:cs="Arial"/>
          <w:sz w:val="20"/>
          <w:szCs w:val="20"/>
        </w:rPr>
        <w:t>instalacje do wytwarzania produktów przez mieszanie, emulgowanie lub konfekcjonowanie chemicznych półproduktów lub produktów podstawowych</w:t>
      </w:r>
      <w:r w:rsidRPr="00603BFB">
        <w:rPr>
          <w:rFonts w:cs="ArialMT"/>
          <w:sz w:val="20"/>
          <w:szCs w:val="20"/>
        </w:rPr>
        <w:t>.</w:t>
      </w:r>
    </w:p>
    <w:p w:rsidR="00B66FE3" w:rsidRPr="00603BFB" w:rsidRDefault="00B66FE3" w:rsidP="00B66FE3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Dla przedsięwzięć mogących potencjalnie znacząco oddziaływać na środowisko z</w:t>
      </w:r>
      <w:r w:rsidRPr="00603BFB">
        <w:rPr>
          <w:rFonts w:cs="Tahoma"/>
          <w:sz w:val="20"/>
          <w:szCs w:val="20"/>
        </w:rPr>
        <w:t xml:space="preserve">godnie z </w:t>
      </w:r>
      <w:r w:rsidRPr="00603BFB">
        <w:rPr>
          <w:sz w:val="20"/>
          <w:szCs w:val="20"/>
        </w:rPr>
        <w:t>art. 71 ust. 2 pkt 2</w:t>
      </w:r>
      <w:r w:rsidRPr="00603BFB">
        <w:rPr>
          <w:rFonts w:cs="Tahoma"/>
          <w:sz w:val="20"/>
          <w:szCs w:val="20"/>
        </w:rPr>
        <w:t xml:space="preserve">  ustawy  </w:t>
      </w:r>
      <w:r w:rsidRPr="00603BFB">
        <w:rPr>
          <w:sz w:val="20"/>
          <w:szCs w:val="20"/>
        </w:rPr>
        <w:t xml:space="preserve">z dnia  3 października 2008 r.  </w:t>
      </w:r>
      <w:r w:rsidRPr="00603BFB">
        <w:rPr>
          <w:iCs/>
          <w:sz w:val="20"/>
          <w:szCs w:val="20"/>
        </w:rPr>
        <w:t>o udostępnianiu informacji o środowisku i jego ochronie, udziale społeczeństwa w ochronie środowiska oraz o ocenach oddziaływania na środowisko</w:t>
      </w:r>
      <w:r w:rsidRPr="00603BFB">
        <w:rPr>
          <w:sz w:val="20"/>
          <w:szCs w:val="20"/>
        </w:rPr>
        <w:t xml:space="preserve"> (j.t.  Dz. U. z 2024 r. poz. 1112 ze zmianami) - dalej ustawa OOŚ, przed uzyskaniem decyzji wymienionych</w:t>
      </w:r>
      <w:r w:rsidRPr="00603BFB">
        <w:rPr>
          <w:rFonts w:cs="Tahoma"/>
          <w:sz w:val="20"/>
          <w:szCs w:val="20"/>
        </w:rPr>
        <w:t xml:space="preserve"> w </w:t>
      </w:r>
      <w:r w:rsidRPr="00603BFB">
        <w:rPr>
          <w:sz w:val="20"/>
          <w:szCs w:val="20"/>
        </w:rPr>
        <w:t xml:space="preserve">art. 72 ust. 1 </w:t>
      </w:r>
      <w:r w:rsidRPr="00603BFB">
        <w:rPr>
          <w:rFonts w:cs="Tahoma"/>
          <w:sz w:val="20"/>
          <w:szCs w:val="20"/>
        </w:rPr>
        <w:t>lub dokonaniem zgłoszeń, o których mowa w </w:t>
      </w:r>
      <w:r w:rsidRPr="00603BFB">
        <w:rPr>
          <w:sz w:val="20"/>
          <w:szCs w:val="20"/>
        </w:rPr>
        <w:t xml:space="preserve">art. 72 </w:t>
      </w:r>
      <w:r w:rsidRPr="00603BFB">
        <w:rPr>
          <w:rFonts w:cs="Tahoma"/>
          <w:sz w:val="20"/>
          <w:szCs w:val="20"/>
        </w:rPr>
        <w:t xml:space="preserve">ust. 1a wymagane jest uzyskanie decyzji </w:t>
      </w:r>
      <w:r w:rsidRPr="00603BFB">
        <w:rPr>
          <w:sz w:val="20"/>
          <w:szCs w:val="20"/>
        </w:rPr>
        <w:t xml:space="preserve">o środowiskowych uwarunkowaniach.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W ramach procedury organ właściwy do wydania ww. decyzji, uwzględniając uwarunkowania wymienione w art. 63 ust. 1 ustawy OOŚ, bada potrzebę przeprowadzenia oceny oddziaływania planowanego przedsięwzięcia na środowisko zasięgając opinii właściwych organów, o których mowa w art. 64 ust. 1 ustawy OOŚ.</w:t>
      </w:r>
    </w:p>
    <w:p w:rsidR="00B66FE3" w:rsidRPr="00603BFB" w:rsidRDefault="00B66FE3" w:rsidP="00B66FE3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603BFB">
        <w:rPr>
          <w:sz w:val="20"/>
          <w:szCs w:val="20"/>
        </w:rPr>
        <w:t xml:space="preserve">Zgodnie z art. 63 ust. 1 ustawy OOŚ obowiązek przeprowadzenia oceny oddziaływania planowanego przedsięwzięcia na środowisko, organ stwierdza w drodze postanowienia. </w:t>
      </w:r>
    </w:p>
    <w:p w:rsidR="00B66FE3" w:rsidRPr="00603BFB" w:rsidRDefault="00B66FE3" w:rsidP="00B66FE3">
      <w:pPr>
        <w:pStyle w:val="Tekst"/>
        <w:ind w:right="17" w:firstLine="425"/>
        <w:rPr>
          <w:sz w:val="20"/>
          <w:szCs w:val="20"/>
        </w:rPr>
      </w:pPr>
      <w:r w:rsidRPr="00603BFB">
        <w:rPr>
          <w:sz w:val="20"/>
          <w:szCs w:val="20"/>
        </w:rPr>
        <w:t xml:space="preserve">Zgodnie z art. 84 ust. 1 ustawy OOŚ, w przypadku gdy nie została przeprowadzona ocena oddziaływania przedsięwzięcia na środowisko, po uzyskaniu wymaganych opinii, o których mowa w art. 64, właściwy organ w decyzji o środowiskowych uwarunkowaniach stwierdza brak potrzeby przeprowadzenia oceny oddziaływania przedsięwzięcia na środowisko. </w:t>
      </w:r>
    </w:p>
    <w:p w:rsidR="00B66FE3" w:rsidRPr="00603BFB" w:rsidRDefault="00B66FE3" w:rsidP="00B66FE3">
      <w:pPr>
        <w:pStyle w:val="Tekst"/>
        <w:ind w:right="17" w:firstLine="425"/>
        <w:rPr>
          <w:sz w:val="20"/>
          <w:szCs w:val="20"/>
        </w:rPr>
      </w:pPr>
      <w:r w:rsidRPr="00603BFB">
        <w:rPr>
          <w:sz w:val="20"/>
          <w:szCs w:val="20"/>
        </w:rPr>
        <w:t xml:space="preserve">Zgodnie z art. 84 ust. 1a ustawy OOŚ, gdy nie została przeprowadzona ocena oddziaływania przedsięwzięcia na środowisko, właściwy organ w decyzji o środowiskowych uwarunkowaniach może określić warunki lub wymagania, o których mowa w art. 82 ust. 1 pkt 1 lit. b lub c, lub nałożyć obowiązek działań, o których mowa w art. 82 ust. 1 pkt 2 lit. b lub c. </w:t>
      </w:r>
    </w:p>
    <w:p w:rsidR="00B66FE3" w:rsidRPr="00603BFB" w:rsidRDefault="00B66FE3" w:rsidP="00B66FE3">
      <w:pPr>
        <w:pStyle w:val="Tekst"/>
        <w:ind w:right="17" w:firstLine="425"/>
        <w:rPr>
          <w:sz w:val="20"/>
          <w:szCs w:val="20"/>
        </w:rPr>
      </w:pPr>
      <w:r w:rsidRPr="00603BFB">
        <w:rPr>
          <w:sz w:val="20"/>
          <w:szCs w:val="20"/>
        </w:rPr>
        <w:t>Zgodnie z art. 84 ust. 2 ustawy OOŚ Charakterystyka przedsięwzięcia stanowi załącznik do decyzji o środowiskowych uwarunkowaniach.</w:t>
      </w:r>
    </w:p>
    <w:p w:rsidR="00B66FE3" w:rsidRPr="00603BFB" w:rsidRDefault="00B66FE3" w:rsidP="00B66FE3">
      <w:pPr>
        <w:pStyle w:val="Tekst"/>
        <w:ind w:right="17" w:firstLine="425"/>
        <w:rPr>
          <w:sz w:val="20"/>
          <w:szCs w:val="20"/>
        </w:rPr>
      </w:pPr>
      <w:r w:rsidRPr="00603BFB">
        <w:rPr>
          <w:sz w:val="20"/>
          <w:szCs w:val="20"/>
        </w:rPr>
        <w:t xml:space="preserve">W oparciu o art. 80 ust. 2 ustawy OOŚ organ wydaje decyzję o środowiskowych uwarunkowaniach po stwierdzeniu zgodności lokalizacji z miejscowym planem zagospodarowania przestrzennego, jeżeli plan ten jest uchwalony. </w:t>
      </w:r>
    </w:p>
    <w:p w:rsidR="00B66FE3" w:rsidRPr="00603BFB" w:rsidRDefault="00B66FE3" w:rsidP="00B66FE3">
      <w:pPr>
        <w:pStyle w:val="Tekst"/>
        <w:ind w:right="17" w:firstLine="425"/>
        <w:rPr>
          <w:sz w:val="20"/>
          <w:szCs w:val="20"/>
        </w:rPr>
      </w:pPr>
      <w:r w:rsidRPr="00603BFB">
        <w:rPr>
          <w:sz w:val="20"/>
          <w:szCs w:val="20"/>
        </w:rPr>
        <w:t xml:space="preserve">Zgodnie z art. 75 ust. 1 pkt 4 ustawy OOŚ Prezydent Miasta Gliwice jest organem właściwym w przedmiotowej sprawie i na podstawie art. 73 ust. 1 ustawy OOŚ, w oparciu o złożony wniosek wszczął postępowanie w sprawie wydania decyzji o środowiskowych uwarunkowaniach  – zawiadomienie z dnia 12.08.2024 r. - pismo ŚR.6220.1.43.2024. 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sz w:val="20"/>
          <w:szCs w:val="20"/>
        </w:rPr>
      </w:pPr>
      <w:r w:rsidRPr="00603BFB">
        <w:rPr>
          <w:sz w:val="20"/>
          <w:szCs w:val="20"/>
        </w:rPr>
        <w:t xml:space="preserve">Wnioskodawca, zgodnie z art. 74 ustawy OOŚ, złożył wraz z wnioskiem poświadczoną przez właściwy organ kopię mapy ewidencyjnej, mapę z zaznaczonym przebiegiem granicy terenu realizacji inwestycji i obszaru oddziaływania, wypisy z ewidencji gruntów dla działek objętych zakresem inwestycji i obszarem oddziaływania oraz przygotowaną zgodnie z wymaganiami art. 62a ust. 1 ustawy OOŚ „Kartę informacyjną przedsięwzięcia”, 31 lipca 2024 r., opracowaną przez zespół autorów </w:t>
      </w:r>
      <w:proofErr w:type="spellStart"/>
      <w:r w:rsidRPr="00603BFB">
        <w:rPr>
          <w:sz w:val="20"/>
          <w:szCs w:val="20"/>
        </w:rPr>
        <w:t>EkoLex</w:t>
      </w:r>
      <w:proofErr w:type="spellEnd"/>
      <w:r w:rsidRPr="00603BFB">
        <w:rPr>
          <w:sz w:val="20"/>
          <w:szCs w:val="20"/>
        </w:rPr>
        <w:t xml:space="preserve"> Tomasz </w:t>
      </w:r>
      <w:proofErr w:type="spellStart"/>
      <w:r w:rsidRPr="00603BFB">
        <w:rPr>
          <w:sz w:val="20"/>
          <w:szCs w:val="20"/>
        </w:rPr>
        <w:t>Pajączkowski</w:t>
      </w:r>
      <w:proofErr w:type="spellEnd"/>
      <w:r w:rsidRPr="00603BFB">
        <w:rPr>
          <w:sz w:val="20"/>
          <w:szCs w:val="20"/>
        </w:rPr>
        <w:t xml:space="preserve"> z Opola, którym kierował mgr inż. Tomasz </w:t>
      </w:r>
      <w:proofErr w:type="spellStart"/>
      <w:r w:rsidRPr="00603BFB">
        <w:rPr>
          <w:sz w:val="20"/>
          <w:szCs w:val="20"/>
        </w:rPr>
        <w:t>Pajączkowski</w:t>
      </w:r>
      <w:proofErr w:type="spellEnd"/>
      <w:r w:rsidRPr="00603BFB">
        <w:rPr>
          <w:sz w:val="20"/>
          <w:szCs w:val="20"/>
        </w:rPr>
        <w:t xml:space="preserve">. </w:t>
      </w:r>
    </w:p>
    <w:p w:rsidR="00B66FE3" w:rsidRPr="00603BFB" w:rsidRDefault="00B66FE3" w:rsidP="00B66FE3">
      <w:pPr>
        <w:pStyle w:val="WW-Tekstpodstawowywcity3"/>
        <w:tabs>
          <w:tab w:val="clear" w:pos="567"/>
        </w:tabs>
        <w:spacing w:after="0" w:line="240" w:lineRule="auto"/>
        <w:ind w:left="0" w:right="17" w:firstLine="426"/>
        <w:rPr>
          <w:rFonts w:ascii="Verdana" w:hAnsi="Verdana" w:cs="Arial"/>
          <w:color w:val="auto"/>
          <w:sz w:val="20"/>
          <w:szCs w:val="20"/>
        </w:rPr>
      </w:pPr>
      <w:r w:rsidRPr="00603BFB">
        <w:rPr>
          <w:rFonts w:ascii="Verdana" w:hAnsi="Verdana"/>
          <w:color w:val="auto"/>
          <w:sz w:val="20"/>
          <w:szCs w:val="20"/>
        </w:rPr>
        <w:t>W ramach procedury Prezydent Miasta Gliwice, w trybie art. 64 ust. 1 pkt 1, 2 i 4 ustawy OOŚ, pismem z dnia 27.08.2024 r. wystąpił do Regionalnego Dyrektora Ochrony Środowiska w Katowicach, Państwowego Powiatowego Inspektora Sanitarnego w Gliwicach oraz Państwowego Gospodarstwa Wodnego Wody Polskie</w:t>
      </w:r>
      <w:r w:rsidRPr="00603BFB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603BFB">
        <w:rPr>
          <w:rFonts w:ascii="Verdana" w:hAnsi="Verdana"/>
          <w:color w:val="auto"/>
          <w:sz w:val="20"/>
          <w:szCs w:val="20"/>
        </w:rPr>
        <w:t xml:space="preserve">o opinie w zakresie potrzeby przeprowadzenia oceny oddziaływania planowanego przedsięwzięcia na środowisko i ewentualnego zakresu raportu. 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603BFB">
        <w:rPr>
          <w:sz w:val="20"/>
          <w:szCs w:val="20"/>
        </w:rPr>
        <w:t xml:space="preserve">W toku postępowania pełnomocnik pismem z dnia 14.10.2024 r. uzupełnił kartę informacyjną przedsięwzięcia (w związku z wezwaniem RDOŚ z dnia 17.09.2024 r. – znak: </w:t>
      </w:r>
      <w:r w:rsidRPr="00603BFB">
        <w:rPr>
          <w:rFonts w:eastAsia="ArialMT" w:cs="ArialMT"/>
          <w:sz w:val="20"/>
          <w:szCs w:val="20"/>
        </w:rPr>
        <w:t>WOOŚ.4220.431.2024.MK2.1)</w:t>
      </w:r>
      <w:r w:rsidRPr="00603BFB">
        <w:rPr>
          <w:rFonts w:cs="ArialMT"/>
          <w:sz w:val="20"/>
          <w:szCs w:val="20"/>
        </w:rPr>
        <w:t xml:space="preserve">. 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Prezydent Miasta Gliwice złożone uzupełnienie przekazał do organów opiniujących.</w:t>
      </w:r>
    </w:p>
    <w:p w:rsidR="00B66FE3" w:rsidRPr="00603BFB" w:rsidRDefault="00B66FE3" w:rsidP="00B66FE3">
      <w:pPr>
        <w:keepNext/>
        <w:autoSpaceDE w:val="0"/>
        <w:autoSpaceDN w:val="0"/>
        <w:adjustRightInd w:val="0"/>
        <w:ind w:right="17" w:firstLine="425"/>
        <w:jc w:val="both"/>
        <w:rPr>
          <w:sz w:val="20"/>
          <w:szCs w:val="20"/>
        </w:rPr>
      </w:pPr>
      <w:r w:rsidRPr="00603BFB">
        <w:rPr>
          <w:sz w:val="20"/>
          <w:szCs w:val="20"/>
        </w:rPr>
        <w:lastRenderedPageBreak/>
        <w:t xml:space="preserve">Prezydent Miasta Gliwice, w trybie art. 64 ust. 1 pkt 1, 2 i 4 ustawy OOŚ, uzyskał wymagane opinie: </w:t>
      </w:r>
    </w:p>
    <w:p w:rsidR="00B66FE3" w:rsidRPr="00603BFB" w:rsidRDefault="00234A3A" w:rsidP="00B66FE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851" w:right="17" w:hanging="284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Regionalnego Dyrektora Ochrony Środowiska w Katowicach (dalej RDOŚ)</w:t>
      </w:r>
      <w:r w:rsidR="00B66FE3" w:rsidRPr="00603BFB">
        <w:rPr>
          <w:sz w:val="20"/>
          <w:szCs w:val="20"/>
        </w:rPr>
        <w:t xml:space="preserve"> –postanowienie z 30.10.2024 r. znak: </w:t>
      </w:r>
      <w:r w:rsidR="00B66FE3" w:rsidRPr="00603BFB">
        <w:rPr>
          <w:rFonts w:cs="ArialMT"/>
          <w:sz w:val="20"/>
          <w:szCs w:val="20"/>
        </w:rPr>
        <w:t>WOOŚ.4220.431.2024.MK2.2,</w:t>
      </w:r>
    </w:p>
    <w:p w:rsidR="00B66FE3" w:rsidRPr="00603BFB" w:rsidRDefault="00234A3A" w:rsidP="00B66FE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851" w:right="17" w:hanging="284"/>
        <w:jc w:val="both"/>
        <w:rPr>
          <w:sz w:val="20"/>
          <w:szCs w:val="20"/>
        </w:rPr>
      </w:pPr>
      <w:r w:rsidRPr="00603BFB">
        <w:rPr>
          <w:sz w:val="20"/>
          <w:szCs w:val="20"/>
        </w:rPr>
        <w:t xml:space="preserve">Państwowego Gospodarstwa Wodnego Wody Polskie </w:t>
      </w:r>
      <w:r w:rsidR="009F0ED9" w:rsidRPr="00603BFB">
        <w:rPr>
          <w:sz w:val="20"/>
          <w:szCs w:val="20"/>
        </w:rPr>
        <w:t>Zarząd Zlewni w Gliwicach</w:t>
      </w:r>
      <w:r w:rsidRPr="00603BFB">
        <w:rPr>
          <w:sz w:val="20"/>
          <w:szCs w:val="20"/>
        </w:rPr>
        <w:t xml:space="preserve"> w Gliwicach (dalej PGW WP)</w:t>
      </w:r>
      <w:r w:rsidR="00B66FE3" w:rsidRPr="00603BFB">
        <w:rPr>
          <w:sz w:val="20"/>
          <w:szCs w:val="20"/>
        </w:rPr>
        <w:t> </w:t>
      </w:r>
      <w:r w:rsidR="00B66FE3" w:rsidRPr="00603BFB">
        <w:rPr>
          <w:bCs/>
          <w:sz w:val="20"/>
          <w:szCs w:val="20"/>
        </w:rPr>
        <w:t xml:space="preserve">- opinia  z 24.09.2024 r. </w:t>
      </w:r>
      <w:r w:rsidR="00B66FE3" w:rsidRPr="00603BFB">
        <w:rPr>
          <w:sz w:val="20"/>
          <w:szCs w:val="20"/>
        </w:rPr>
        <w:t xml:space="preserve">znak: </w:t>
      </w:r>
      <w:r w:rsidR="00B66FE3" w:rsidRPr="00603BFB">
        <w:rPr>
          <w:bCs/>
          <w:sz w:val="20"/>
          <w:szCs w:val="20"/>
        </w:rPr>
        <w:t xml:space="preserve">CG.ZZŚ.4901.151.2024.TM,  podtrzymana pismem z 24.10.2024 r. </w:t>
      </w:r>
    </w:p>
    <w:p w:rsidR="00B66FE3" w:rsidRPr="00603BFB" w:rsidRDefault="00234A3A" w:rsidP="00B66FE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851" w:right="17" w:hanging="284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Państwowego Powiatowego Inspektora Sanitarnego w Gliwicach (dalej PPIS</w:t>
      </w:r>
      <w:r w:rsidRPr="00603BFB">
        <w:rPr>
          <w:bCs/>
          <w:sz w:val="20"/>
          <w:szCs w:val="20"/>
        </w:rPr>
        <w:t>)</w:t>
      </w:r>
      <w:r w:rsidR="00B66FE3" w:rsidRPr="00603BFB">
        <w:rPr>
          <w:bCs/>
          <w:sz w:val="20"/>
          <w:szCs w:val="20"/>
        </w:rPr>
        <w:t> -</w:t>
      </w:r>
      <w:r w:rsidR="00B66FE3" w:rsidRPr="00603BFB">
        <w:rPr>
          <w:sz w:val="20"/>
          <w:szCs w:val="20"/>
        </w:rPr>
        <w:t xml:space="preserve">opinia z dnia 05.09.2024 r. – znak: </w:t>
      </w:r>
      <w:r w:rsidR="00B66FE3" w:rsidRPr="00603BFB">
        <w:rPr>
          <w:rFonts w:cs="ArialMT"/>
          <w:sz w:val="20"/>
          <w:szCs w:val="20"/>
        </w:rPr>
        <w:t>NS</w:t>
      </w:r>
      <w:r w:rsidR="00B66FE3" w:rsidRPr="00603BFB">
        <w:rPr>
          <w:rFonts w:cs="ArialMT"/>
          <w:sz w:val="20"/>
          <w:szCs w:val="20"/>
        </w:rPr>
        <w:noBreakHyphen/>
        <w:t xml:space="preserve">ZNS.9022.3.62.2024.1, podtrzymana pismem z 29.10.2024 r. </w:t>
      </w:r>
    </w:p>
    <w:p w:rsidR="00B66FE3" w:rsidRPr="00603BFB" w:rsidRDefault="00B66FE3" w:rsidP="00B66FE3">
      <w:pPr>
        <w:pStyle w:val="Tekst"/>
        <w:ind w:right="17" w:firstLine="425"/>
        <w:rPr>
          <w:rFonts w:cs="Arial"/>
          <w:iCs/>
          <w:sz w:val="20"/>
          <w:szCs w:val="20"/>
        </w:rPr>
      </w:pPr>
      <w:r w:rsidRPr="00603BFB">
        <w:rPr>
          <w:bCs/>
          <w:sz w:val="20"/>
          <w:szCs w:val="20"/>
        </w:rPr>
        <w:t xml:space="preserve">Organy </w:t>
      </w:r>
      <w:r w:rsidRPr="00603BFB">
        <w:rPr>
          <w:sz w:val="20"/>
          <w:szCs w:val="20"/>
        </w:rPr>
        <w:t xml:space="preserve">pozytywnie zaopiniowały planowane przedsięwzięcie i jednomyślnie wyraziły opinie o braku potrzeby przeprowadzenia oceny oddziaływania planowanego przedsięwzięcia na środowisko. Jednocześnie, zgodnie z art. 64 ust. 3a ustawy OOŚ, PGW WP </w:t>
      </w:r>
      <w:r w:rsidRPr="00603BFB">
        <w:rPr>
          <w:rFonts w:cs="Arial"/>
          <w:sz w:val="20"/>
          <w:szCs w:val="20"/>
        </w:rPr>
        <w:t xml:space="preserve">sprecyzował </w:t>
      </w:r>
      <w:r w:rsidRPr="00603BFB">
        <w:rPr>
          <w:sz w:val="20"/>
          <w:szCs w:val="20"/>
        </w:rPr>
        <w:t>warunki realizacji przedsięwzięcia, które zostały uwzględnione w pkt II niniejszej decyzji.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Biorąc pod uwagę opinie, uzyskane w trybie art. 64 ust. 1 pkt 1, 2 i 4 ustawy OOŚ, w oparciu o analizę informacji o planowanym przedsięwzięciu zamieszczonych w „Karcie informacyjnej przedsięwzięcia” oraz uwzględniając uwarunkowania określone w art. 63 ust. 1 ustawy OOŚ, Prezydent Miasta Gliwice nie stwierdził konieczności przeprowadzenia oceny oddziaływania na środowisko planowanego przedsięwzięcia.</w:t>
      </w:r>
    </w:p>
    <w:p w:rsidR="00B66FE3" w:rsidRPr="00603BFB" w:rsidRDefault="00B66FE3" w:rsidP="00B66FE3">
      <w:pPr>
        <w:pStyle w:val="Default"/>
        <w:ind w:right="17" w:firstLine="425"/>
        <w:jc w:val="both"/>
        <w:rPr>
          <w:rFonts w:ascii="Verdana" w:hAnsi="Verdana"/>
          <w:color w:val="auto"/>
          <w:sz w:val="20"/>
          <w:szCs w:val="20"/>
        </w:rPr>
      </w:pPr>
      <w:r w:rsidRPr="00603BFB">
        <w:rPr>
          <w:rFonts w:ascii="Verdana" w:hAnsi="Verdana"/>
          <w:color w:val="auto"/>
          <w:sz w:val="20"/>
          <w:szCs w:val="20"/>
        </w:rPr>
        <w:t>Analizując przedstawione we wniosku dane o planowanym przedsięwzięciu pod względem uwarunkowań określonych w art. 63 ust. 1 ustawy OOŚ organ wziął pod uwagę co następuje: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Przedsięwzięcie realizowane będzie w Gliwicach, na terenie zakładu GRUPA WĘGLOSTAL Sp. z o. o., przy ul. Chorzowskiej 44c, na części działki o numerze ewidencyjnym 179, obręb Kolej. </w:t>
      </w:r>
    </w:p>
    <w:p w:rsidR="00B66FE3" w:rsidRPr="00603BFB" w:rsidRDefault="00B66FE3" w:rsidP="00B66FE3">
      <w:pPr>
        <w:widowControl w:val="0"/>
        <w:autoSpaceDE w:val="0"/>
        <w:autoSpaceDN w:val="0"/>
        <w:adjustRightInd w:val="0"/>
        <w:ind w:right="17" w:firstLine="284"/>
        <w:jc w:val="both"/>
        <w:rPr>
          <w:spacing w:val="-6"/>
          <w:sz w:val="20"/>
          <w:szCs w:val="20"/>
        </w:rPr>
      </w:pPr>
      <w:r w:rsidRPr="00603BFB">
        <w:rPr>
          <w:kern w:val="16"/>
          <w:sz w:val="20"/>
          <w:szCs w:val="20"/>
        </w:rPr>
        <w:t xml:space="preserve">Teren inwestycji, obejmujący fragment </w:t>
      </w:r>
      <w:r w:rsidRPr="00603BFB">
        <w:rPr>
          <w:sz w:val="20"/>
          <w:szCs w:val="20"/>
        </w:rPr>
        <w:t>działki nr 179 obręb Kolej</w:t>
      </w:r>
      <w:r w:rsidRPr="00603BFB">
        <w:rPr>
          <w:kern w:val="16"/>
          <w:sz w:val="20"/>
          <w:szCs w:val="20"/>
        </w:rPr>
        <w:t xml:space="preserve"> znajduje się na obszarze, dla którego od dnia 17 października 2010 r. obowiązuje </w:t>
      </w:r>
      <w:r w:rsidRPr="00603BFB">
        <w:rPr>
          <w:sz w:val="20"/>
          <w:szCs w:val="20"/>
        </w:rPr>
        <w:t xml:space="preserve">miejscowy plan zagospodarowania przestrzennego miasta Gliwice dla terenu położonego po wschodniej stronie ulicy Tarnogórskiej, obejmującego część dzielnicy </w:t>
      </w:r>
      <w:proofErr w:type="spellStart"/>
      <w:r w:rsidRPr="00603BFB">
        <w:rPr>
          <w:sz w:val="20"/>
          <w:szCs w:val="20"/>
        </w:rPr>
        <w:t>Szobiszowice</w:t>
      </w:r>
      <w:proofErr w:type="spellEnd"/>
      <w:r w:rsidRPr="00603BFB">
        <w:rPr>
          <w:sz w:val="20"/>
          <w:szCs w:val="20"/>
        </w:rPr>
        <w:t xml:space="preserve"> i Zatorze (uchwała nr XXXVII/1089/2010 Rady Miejskiej w Gliwicach z dnia 15 lipca 2010 r., Dz. Urz. Woj. Śląskiego nr 188 z dnia 16 września 2010 r., poz. 2908). </w:t>
      </w:r>
      <w:r w:rsidRPr="00603BFB">
        <w:rPr>
          <w:spacing w:val="-6"/>
          <w:sz w:val="20"/>
          <w:szCs w:val="20"/>
        </w:rPr>
        <w:t>Zgodnie z ustaleniami ww. planu teren, na którym planowana jest inwestycja</w:t>
      </w:r>
      <w:r w:rsidRPr="00603BFB">
        <w:rPr>
          <w:spacing w:val="-8"/>
          <w:sz w:val="20"/>
          <w:szCs w:val="20"/>
        </w:rPr>
        <w:t xml:space="preserve">, </w:t>
      </w:r>
      <w:r w:rsidRPr="00603BFB">
        <w:rPr>
          <w:sz w:val="20"/>
          <w:szCs w:val="20"/>
        </w:rPr>
        <w:t xml:space="preserve">oznaczony jest symbolem: </w:t>
      </w:r>
      <w:r w:rsidRPr="00603BFB">
        <w:rPr>
          <w:spacing w:val="-6"/>
          <w:sz w:val="20"/>
          <w:szCs w:val="20"/>
        </w:rPr>
        <w:t xml:space="preserve">2 UP – co oznacza: </w:t>
      </w:r>
      <w:r w:rsidRPr="00603BFB">
        <w:rPr>
          <w:sz w:val="20"/>
          <w:szCs w:val="20"/>
        </w:rPr>
        <w:t xml:space="preserve">Tereny usługowo-produkcyjne. </w:t>
      </w:r>
      <w:r w:rsidRPr="00603BFB">
        <w:rPr>
          <w:iCs/>
          <w:spacing w:val="-12"/>
          <w:sz w:val="20"/>
          <w:szCs w:val="20"/>
        </w:rPr>
        <w:t xml:space="preserve">Lokalizacja </w:t>
      </w:r>
      <w:r w:rsidRPr="00603BFB">
        <w:rPr>
          <w:spacing w:val="-12"/>
          <w:sz w:val="20"/>
          <w:szCs w:val="20"/>
        </w:rPr>
        <w:t xml:space="preserve">planowanej inwestycji </w:t>
      </w:r>
      <w:r w:rsidRPr="00603BFB">
        <w:rPr>
          <w:spacing w:val="-6"/>
          <w:sz w:val="20"/>
          <w:szCs w:val="20"/>
        </w:rPr>
        <w:t>będzie zgodna z ustaleniami miejscowego planu zagospodarowania przestrzennego</w:t>
      </w:r>
      <w:r w:rsidRPr="00603BFB">
        <w:rPr>
          <w:sz w:val="20"/>
          <w:szCs w:val="20"/>
        </w:rPr>
        <w:t>.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Otoczenie terenu, na którym realizowane będzie przedsięwzięcie stanowią:</w:t>
      </w:r>
    </w:p>
    <w:p w:rsidR="00B66FE3" w:rsidRPr="00603BFB" w:rsidRDefault="00B66FE3" w:rsidP="00B66FE3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17" w:hanging="283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od zachodu i północy: tereny usługowo - produkcyjne,</w:t>
      </w:r>
    </w:p>
    <w:p w:rsidR="00B66FE3" w:rsidRPr="00603BFB" w:rsidRDefault="00B66FE3" w:rsidP="00B66FE3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17" w:hanging="283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od wschodu: teren zabytkowego kościoła p.w. św. Rodziny i tereny usługowo –produkcyjne,</w:t>
      </w:r>
    </w:p>
    <w:p w:rsidR="00B66FE3" w:rsidRPr="00603BFB" w:rsidRDefault="00B66FE3" w:rsidP="00B66FE3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17" w:hanging="283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od południa: tereny usługowo – produkcyjne i tereny kolejowe.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GRUPA WĘGLOSTAL Sp. z o.o. zajmuje się hurtową sprzedażą wyrobów chemicznych.</w:t>
      </w:r>
    </w:p>
    <w:p w:rsidR="00507121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Planowane przedsięwzięcie realizowane będzie w dwóch istniejących, przylegających do siebie halach o powierzchni ok. 1300 m</w:t>
      </w:r>
      <w:r w:rsidRPr="00603BFB">
        <w:rPr>
          <w:rFonts w:cs="ArialMT"/>
          <w:sz w:val="20"/>
          <w:szCs w:val="20"/>
          <w:vertAlign w:val="superscript"/>
        </w:rPr>
        <w:t>2</w:t>
      </w:r>
      <w:r w:rsidRPr="00603BFB">
        <w:rPr>
          <w:rFonts w:cs="ArialMT"/>
          <w:sz w:val="20"/>
          <w:szCs w:val="20"/>
        </w:rPr>
        <w:t>, natomiast sama powierzchnia przedsięwzięcia będzie wynosiła ok. 400 m</w:t>
      </w:r>
      <w:r w:rsidRPr="00603BFB">
        <w:rPr>
          <w:rFonts w:cs="ArialMT"/>
          <w:sz w:val="20"/>
          <w:szCs w:val="20"/>
          <w:vertAlign w:val="superscript"/>
        </w:rPr>
        <w:t>2</w:t>
      </w:r>
      <w:r w:rsidRPr="00603BFB">
        <w:rPr>
          <w:rFonts w:cs="ArialMT"/>
          <w:sz w:val="20"/>
          <w:szCs w:val="20"/>
        </w:rPr>
        <w:t xml:space="preserve">. </w:t>
      </w:r>
    </w:p>
    <w:p w:rsidR="00B66FE3" w:rsidRPr="00603BFB" w:rsidRDefault="00B66FE3" w:rsidP="00B66FE3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 chwili obecnej hale wykorzystywane są do magazynowania towarów, głównie siarczanu żelaza III, chlorku żelaza III, chlorku </w:t>
      </w:r>
      <w:proofErr w:type="spellStart"/>
      <w:r w:rsidRPr="00603BFB">
        <w:rPr>
          <w:rFonts w:cs="ArialMT"/>
          <w:sz w:val="20"/>
          <w:szCs w:val="20"/>
        </w:rPr>
        <w:t>poliglinu</w:t>
      </w:r>
      <w:proofErr w:type="spellEnd"/>
      <w:r w:rsidRPr="00603BFB">
        <w:rPr>
          <w:rFonts w:cs="ArialMT"/>
          <w:sz w:val="20"/>
          <w:szCs w:val="20"/>
        </w:rPr>
        <w:t xml:space="preserve"> oraz wodorotlenku sodu. Posadzka hal jest betonowa ze spływem do szczelnego zbiornika pod posadzką o pojemności 2,5 m</w:t>
      </w:r>
      <w:r w:rsidRPr="00603BFB">
        <w:rPr>
          <w:rFonts w:cs="ArialMT"/>
          <w:sz w:val="20"/>
          <w:szCs w:val="20"/>
          <w:vertAlign w:val="superscript"/>
        </w:rPr>
        <w:t>3</w:t>
      </w:r>
      <w:r w:rsidRPr="00603BFB">
        <w:rPr>
          <w:rFonts w:cs="ArialMT"/>
          <w:sz w:val="20"/>
          <w:szCs w:val="20"/>
        </w:rPr>
        <w:t xml:space="preserve">. Hale ogrzewane są poprzez nagrzewnice zasilane ciepłem z sieci ciepłowniczej. Hale posiadają wentylację grawitacyjną.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Realizacja inwestycji wiąże się z usytuowaniem instalacji i urządzeń wewnątrz istniejących obiektów. In</w:t>
      </w:r>
      <w:r w:rsidR="00603BFB" w:rsidRPr="00603BFB">
        <w:rPr>
          <w:rFonts w:cs="ArialMT"/>
          <w:sz w:val="20"/>
          <w:szCs w:val="20"/>
        </w:rPr>
        <w:t>stalacja</w:t>
      </w:r>
      <w:r w:rsidRPr="00603BFB">
        <w:rPr>
          <w:rFonts w:cs="ArialMT"/>
          <w:sz w:val="20"/>
          <w:szCs w:val="20"/>
        </w:rPr>
        <w:t xml:space="preserve"> posadowiona zostanie na istniejącej posadzce betonowej. W związku z realizacją przedsięwzięcia nie zmieni się zagospodarowanie terenu. Nie przewiduje się wykonania żadnych prac ziemnych oraz prac poza obrębem hal.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lastRenderedPageBreak/>
        <w:t>Planowane przedsięwzięcie obejmuje montaż instalacji, w skład której wchodzić będą:</w:t>
      </w:r>
    </w:p>
    <w:p w:rsidR="00B66FE3" w:rsidRPr="00603BFB" w:rsidRDefault="00B66FE3" w:rsidP="00B66FE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mieszalnik wraz z aparaturą,</w:t>
      </w:r>
    </w:p>
    <w:p w:rsidR="00B66FE3" w:rsidRPr="00603BFB" w:rsidRDefault="00B66FE3" w:rsidP="00B66FE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pompa ciepła,</w:t>
      </w:r>
    </w:p>
    <w:p w:rsidR="00B66FE3" w:rsidRPr="00603BFB" w:rsidRDefault="00B66FE3" w:rsidP="00B66FE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pompa elektryczna do załadunku autocystern,</w:t>
      </w:r>
    </w:p>
    <w:p w:rsidR="00B66FE3" w:rsidRPr="00603BFB" w:rsidRDefault="00B66FE3" w:rsidP="00B66FE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pompa pneumatyczna</w:t>
      </w:r>
    </w:p>
    <w:p w:rsidR="00B66FE3" w:rsidRPr="00603BFB" w:rsidRDefault="00B66FE3" w:rsidP="00B66FE3">
      <w:pPr>
        <w:autoSpaceDE w:val="0"/>
        <w:autoSpaceDN w:val="0"/>
        <w:adjustRightInd w:val="0"/>
        <w:ind w:left="6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oraz wykonanie:</w:t>
      </w:r>
    </w:p>
    <w:p w:rsidR="00B66FE3" w:rsidRPr="00603BFB" w:rsidRDefault="00B66FE3" w:rsidP="00B66FE3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instalacji wodociągowej do zasilenia podgrzewacza wody, </w:t>
      </w:r>
    </w:p>
    <w:p w:rsidR="00B66FE3" w:rsidRPr="00603BFB" w:rsidRDefault="00B66FE3" w:rsidP="00B66FE3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instalacji gorącej wody z podgrzewacza do mieszalnika </w:t>
      </w:r>
    </w:p>
    <w:p w:rsidR="00B66FE3" w:rsidRPr="00603BFB" w:rsidRDefault="00B66FE3" w:rsidP="00B66FE3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instalacji zrzutu towaru z mieszalnika.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Do transportu surowców po terenie przedsięwzięcia wykorzystywane będą wózki widłowe.</w:t>
      </w:r>
    </w:p>
    <w:p w:rsidR="00507121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 projektowanej instalacji wytwarzane będą: płynny siarczan żelaza III, rozcieńczony wodorotlenek sodu oraz blendy.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W celu produkcji płynnego siarczanu żelaza III do mieszalnika zostanie wprowadzona woda w temperaturze 60°C oraz zasypany granulat siarczanu żelaza III. Proces mieszania będzie trwał 60 minut. Roztwór z mieszalnika transportowany będzie bezpośrednio do autocysterny.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Wodorotlenek sodu w postaci płynnego roztworu 50% rozcieńczany będzie w mieszalniku za pomocą wody do niższych stężeń (głównie 25-30%). Roztwór z mieszalnika transportowany będzie bezpośrednio do autocysterny.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Blendy wytwarzane będą w instalacji sporadycznie, wyłącznie na zamówienie klienta. Blendy powstawać będą w wyniku mieszania w mieszalniku koagulantu (1,2</w:t>
      </w:r>
      <w:r w:rsidRPr="00603BFB">
        <w:rPr>
          <w:rFonts w:cs="ArialMT"/>
          <w:sz w:val="20"/>
          <w:szCs w:val="20"/>
        </w:rPr>
        <w:noBreakHyphen/>
        <w:t>Etanodiamina, polimer z 2-(</w:t>
      </w:r>
      <w:proofErr w:type="spellStart"/>
      <w:r w:rsidRPr="00603BFB">
        <w:rPr>
          <w:rFonts w:cs="ArialMT"/>
          <w:sz w:val="20"/>
          <w:szCs w:val="20"/>
        </w:rPr>
        <w:t>chlorometylo</w:t>
      </w:r>
      <w:proofErr w:type="spellEnd"/>
      <w:r w:rsidRPr="00603BFB">
        <w:rPr>
          <w:rFonts w:cs="ArialMT"/>
          <w:sz w:val="20"/>
          <w:szCs w:val="20"/>
        </w:rPr>
        <w:t>)</w:t>
      </w:r>
      <w:proofErr w:type="spellStart"/>
      <w:r w:rsidRPr="00603BFB">
        <w:rPr>
          <w:rFonts w:cs="ArialMT"/>
          <w:sz w:val="20"/>
          <w:szCs w:val="20"/>
        </w:rPr>
        <w:t>oksiranem</w:t>
      </w:r>
      <w:proofErr w:type="spellEnd"/>
      <w:r w:rsidRPr="00603BFB">
        <w:rPr>
          <w:rFonts w:cs="ArialMT"/>
          <w:sz w:val="20"/>
          <w:szCs w:val="20"/>
        </w:rPr>
        <w:t xml:space="preserve"> i N-</w:t>
      </w:r>
      <w:proofErr w:type="spellStart"/>
      <w:r w:rsidRPr="00603BFB">
        <w:rPr>
          <w:rFonts w:cs="ArialMT"/>
          <w:sz w:val="20"/>
          <w:szCs w:val="20"/>
        </w:rPr>
        <w:t>metylometanoaminą</w:t>
      </w:r>
      <w:proofErr w:type="spellEnd"/>
      <w:r w:rsidRPr="00603BFB">
        <w:rPr>
          <w:rFonts w:cs="ArialMT"/>
          <w:sz w:val="20"/>
          <w:szCs w:val="20"/>
        </w:rPr>
        <w:t>) z flokulantem (płynny siarczan żelaza III). W przypadku produkcji blend, roztwór siarczanu żelaza III po wyprodukowaniu będzie pozostawiany w mieszalniku i do niego dodawany będzie koagulant lub roztwór ten będzie przepompowywany do mieszalnika z pojemników IBC, gdyż jest również kupowany przez Inwestora w postaci gotowego roztworu. Blendy bezpośrednio po wytworzeniu przekazywane będą zamawiającemu.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Prognozowana wielkość produkcji:</w:t>
      </w:r>
    </w:p>
    <w:p w:rsidR="00B66FE3" w:rsidRPr="00603BFB" w:rsidRDefault="00B66FE3" w:rsidP="00B66FE3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płynny siarczan żelaza III: 10 700 Mg/rok,</w:t>
      </w:r>
    </w:p>
    <w:p w:rsidR="00B66FE3" w:rsidRPr="00603BFB" w:rsidRDefault="00B66FE3" w:rsidP="00B66FE3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rozcieńczony wodorotlenek sodu: 2 150 Mg/rok,</w:t>
      </w:r>
    </w:p>
    <w:p w:rsidR="00B66FE3" w:rsidRPr="00603BFB" w:rsidRDefault="00B66FE3" w:rsidP="00B66FE3">
      <w:pPr>
        <w:pStyle w:val="Akapitzlist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blendy: 72 Mg/rok.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Woda wykorzystywana w procesie produkcyjnym pobierana będzie z przyłączy wodociągowych.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Substraty planowane do wykorzystania w procesach mieszania magazynowane będą na terenie hal w kontenerach IBC o pojemności 1 m</w:t>
      </w:r>
      <w:r w:rsidRPr="00603BFB">
        <w:rPr>
          <w:rFonts w:cs="ArialMT"/>
          <w:sz w:val="20"/>
          <w:szCs w:val="20"/>
          <w:vertAlign w:val="superscript"/>
        </w:rPr>
        <w:t>3</w:t>
      </w:r>
      <w:r w:rsidRPr="00603BFB">
        <w:rPr>
          <w:rFonts w:cs="ArialMT"/>
          <w:sz w:val="20"/>
          <w:szCs w:val="20"/>
        </w:rPr>
        <w:t xml:space="preserve">, a granulat siarczanu żelaza (III) będzie magazynowany w opakowaniach typu BIG BAG o masie 1 tony. </w:t>
      </w:r>
    </w:p>
    <w:p w:rsidR="00B66FE3" w:rsidRPr="00603BFB" w:rsidRDefault="00B66FE3" w:rsidP="00B66FE3">
      <w:pPr>
        <w:autoSpaceDE w:val="0"/>
        <w:autoSpaceDN w:val="0"/>
        <w:adjustRightInd w:val="0"/>
        <w:ind w:left="36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Załadunek cystern odbywał się będzie wewnątrz hali.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Eksploatacja planowanego przedsięwzięcia nie będzie źródłem powstawania ścieków przemysłowych. Popłuczyny, które powstawać będą w wyniku czyszczenia instalacji z uwagi na zmianę produkowanej substancji będą magazynowane w pojemnikach IBC i następnie ponownie wykorzystywane w poszczególnych procesach.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Posadzka hal, w których zlokalizowane będzie planowane przedsięwzięcie jest betonowa ze spływem do szczelnego zbiornika znajdującego się pod posadzką o pojemności 2,5 m</w:t>
      </w:r>
      <w:r w:rsidRPr="00603BFB">
        <w:rPr>
          <w:rFonts w:cs="ArialMT"/>
          <w:sz w:val="20"/>
          <w:szCs w:val="20"/>
          <w:vertAlign w:val="superscript"/>
        </w:rPr>
        <w:t>3</w:t>
      </w:r>
      <w:r w:rsidRPr="00603BFB">
        <w:rPr>
          <w:rFonts w:cs="ArialMT"/>
          <w:sz w:val="20"/>
          <w:szCs w:val="20"/>
        </w:rPr>
        <w:t xml:space="preserve"> (obecnie hale wykorzystywane są do magazynowania towarów, głównie siarczanu żelaza III, chlorku żelaza III, chlorku </w:t>
      </w:r>
      <w:proofErr w:type="spellStart"/>
      <w:r w:rsidRPr="00603BFB">
        <w:rPr>
          <w:rFonts w:cs="ArialMT"/>
          <w:sz w:val="20"/>
          <w:szCs w:val="20"/>
        </w:rPr>
        <w:t>poliglinu</w:t>
      </w:r>
      <w:proofErr w:type="spellEnd"/>
      <w:r w:rsidRPr="00603BFB">
        <w:rPr>
          <w:rFonts w:cs="ArialMT"/>
          <w:sz w:val="20"/>
          <w:szCs w:val="20"/>
        </w:rPr>
        <w:t xml:space="preserve"> oraz wodorotlenku sodu). Wobec powyższego wycieki powstałe w sytuacji awaryjnej odprowadzane będą do tego zbiornika</w:t>
      </w:r>
      <w:r w:rsidR="00BE57CE" w:rsidRPr="00603BFB">
        <w:rPr>
          <w:rFonts w:cs="ArialMT"/>
          <w:sz w:val="20"/>
          <w:szCs w:val="20"/>
        </w:rPr>
        <w:t xml:space="preserve"> i następnie jako odpad odbierane przez uprawniony podmiot</w:t>
      </w:r>
      <w:r w:rsidRPr="00603BFB">
        <w:rPr>
          <w:rFonts w:cs="ArialMT"/>
          <w:sz w:val="20"/>
          <w:szCs w:val="20"/>
        </w:rPr>
        <w:t xml:space="preserve">. Dodatkowo hale są i będą wyposażone w sorbenty do likwidacji ewentualnych pozostałości po wyciekach. </w:t>
      </w:r>
      <w:r w:rsidR="00BE57CE" w:rsidRPr="00603BFB">
        <w:rPr>
          <w:sz w:val="20"/>
          <w:szCs w:val="20"/>
        </w:rPr>
        <w:t>Zużyte sorbenty będą gromadzone w przeznaczonych do tego celu pojemnikach oraz przekazywane uprawnionemu odbiorcy.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Planowana działalność nie będzie stanowiła zagrożenia dla środowiska ze względu na rodzaje i ilości wytwarzanych odpadów. Odpady wytwarzane na etapie realizacji przedsięwzięcia będą magazynowane selektywnie, w sposób zapobiegający </w:t>
      </w:r>
      <w:r w:rsidRPr="00603BFB">
        <w:rPr>
          <w:rFonts w:cs="ArialMT"/>
          <w:sz w:val="20"/>
          <w:szCs w:val="20"/>
        </w:rPr>
        <w:lastRenderedPageBreak/>
        <w:t>rozprzestrzenianiu się odpadów poza przeznaczone do tego celu miejsce oraz w sposób wykluczający ich przenikanie do ziemi i wód np. w szczelnych pojemnikach odpornych na</w:t>
      </w:r>
      <w:r w:rsidR="008A4FC5" w:rsidRPr="00603BFB">
        <w:rPr>
          <w:rFonts w:cs="ArialMT"/>
          <w:sz w:val="20"/>
          <w:szCs w:val="20"/>
        </w:rPr>
        <w:t> </w:t>
      </w:r>
      <w:r w:rsidRPr="00603BFB">
        <w:rPr>
          <w:rFonts w:cs="ArialMT"/>
          <w:sz w:val="20"/>
          <w:szCs w:val="20"/>
        </w:rPr>
        <w:t xml:space="preserve">działania odpadów. Odpady wytwarzane na etapie eksploatacji magazynowane będą selektywnie w wyznaczonych miejscach, odpady niebezpieczne na terenie hali, w sposób dostosowany do właściwości chemicznych i fizycznych odpadów. Wszystkie wytwarzane odpady przekazywane będą następnie do odzysku lub unieszkodliwiania specjalistycznym firmom zewnętrznym – zgodnie z przepisami </w:t>
      </w:r>
      <w:r w:rsidR="001F5D93" w:rsidRPr="00603BFB">
        <w:rPr>
          <w:rFonts w:cs="ArialMT"/>
          <w:sz w:val="20"/>
          <w:szCs w:val="20"/>
        </w:rPr>
        <w:t>ustawy o odpadach</w:t>
      </w:r>
      <w:r w:rsidRPr="00603BFB">
        <w:rPr>
          <w:rFonts w:cs="ArialMT"/>
          <w:sz w:val="20"/>
          <w:szCs w:val="20"/>
        </w:rPr>
        <w:t>.</w:t>
      </w:r>
    </w:p>
    <w:p w:rsidR="00B66FE3" w:rsidRPr="00603BFB" w:rsidRDefault="00B66FE3" w:rsidP="00B66FE3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Realizacja planowanego przedsięwzięcia nie wpłynie na sposób postępowania ze</w:t>
      </w:r>
      <w:r w:rsidR="00EA53A3" w:rsidRPr="00603BFB">
        <w:rPr>
          <w:rFonts w:cs="ArialMT"/>
          <w:sz w:val="20"/>
          <w:szCs w:val="20"/>
        </w:rPr>
        <w:t> </w:t>
      </w:r>
      <w:r w:rsidRPr="00603BFB">
        <w:rPr>
          <w:rFonts w:cs="ArialMT"/>
          <w:sz w:val="20"/>
          <w:szCs w:val="20"/>
        </w:rPr>
        <w:t xml:space="preserve">ściekami bytowymi i wodami opadowymi i roztopowymi.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Na etapie realizacji zaplecze socjalno-sanitarne budowy zorganizowane będzie w oparciu o przenośne kontenery socjalne i toalety przenośne (np. typu TOI TOI), które wyposażone będą w bezodpływowe zbiorniki ścieków, które opróżniane będą w miarę potrzeb przez wyspecjalizowaną firmę.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Biorąc pod uwagę powyższe realizacja i eksploatacja planowanego zamierzenia nie powinna stanowić zagrożenia dla środowiska gruntowo – wodnego.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Przedsięwzięcie jest zlokalizowane w zasięgu jednolitej części wód powierzchniowych (JCWP) </w:t>
      </w:r>
      <w:proofErr w:type="spellStart"/>
      <w:r w:rsidRPr="00603BFB">
        <w:rPr>
          <w:rFonts w:cs="ArialMT"/>
          <w:sz w:val="20"/>
          <w:szCs w:val="20"/>
        </w:rPr>
        <w:t>Bytomka</w:t>
      </w:r>
      <w:proofErr w:type="spellEnd"/>
      <w:r w:rsidRPr="00603BFB">
        <w:rPr>
          <w:rFonts w:cs="ArialMT"/>
          <w:sz w:val="20"/>
          <w:szCs w:val="20"/>
        </w:rPr>
        <w:t xml:space="preserve"> o kodzie RW60000611649, posiadającej status silnie zmienionej części wód. Stan JCWP, zgodnie z „Planem gospodarowania wodami na obszarze dorzecza Odry", przyjętym rozporządzeniem Ministra Infrastruktury z dnia 16 listopada 2022 r. (Dz.U. z 2023 r. poz. 335), oceniony został jako zły (potencjał ekologiczny zły, stan chemiczny poniżej dobrego). JCWP, ze względu na zidentyfikowane w zlewni presje, została uznana za zagrożoną nieosiągnięciem celów środowiskowych.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Ponadto planowane przedsięwzięcie zlokalizowane będzie w zasięgu jednolitej części wód podziemnych (</w:t>
      </w:r>
      <w:proofErr w:type="spellStart"/>
      <w:r w:rsidRPr="00603BFB">
        <w:rPr>
          <w:rFonts w:cs="ArialMT"/>
          <w:sz w:val="20"/>
          <w:szCs w:val="20"/>
        </w:rPr>
        <w:t>JCWPd</w:t>
      </w:r>
      <w:proofErr w:type="spellEnd"/>
      <w:r w:rsidRPr="00603BFB">
        <w:rPr>
          <w:rFonts w:cs="ArialMT"/>
          <w:sz w:val="20"/>
          <w:szCs w:val="20"/>
        </w:rPr>
        <w:t xml:space="preserve">) o kodzie GW6000129 znajdującej się w regionie wodnym Górnej Odry, posiadającą dobry stan chemiczny oraz słaby stan ilościowy w związku, z czym stan ogólny jednolitej został oceniony jako słaby. Jednolita część wód podziemnych uznana została za zagrożoną nieosiągnięciem celów środowiskowych ze względu na zidentyfikowaną presję obszarową rozproszoną, związaną z rolnictwem i gospodarką komunalną oraz presję związaną z poborem wód podziemnych na potrzeby odwodnienia wyrobisk górniczych (rejon GZW) oraz z ujęć komunalnych. Teren inwestycji znajduje się poza zasięgiem zbiorników wód podziemnych.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603BFB">
        <w:rPr>
          <w:rFonts w:eastAsia="ArialMT" w:cs="ArialMT"/>
          <w:sz w:val="20"/>
          <w:szCs w:val="20"/>
        </w:rPr>
        <w:t xml:space="preserve">W celu wyeliminowania ryzyka zanieczyszczenia środowiska wodno­gruntowego w trakcie prowadzonych prac i tym samym pogorszenia aktualnego stanu jednolitych części wód, w zlewni których realizowane będzie przedsięwzięcie, PGW WP w opinii określił warunki realizacji i eksploatacji przedsięwzięcia, które zostały uwzględnione w pkt II niniejszej decyzji. </w:t>
      </w:r>
      <w:r w:rsidRPr="00603BFB">
        <w:rPr>
          <w:sz w:val="20"/>
          <w:szCs w:val="20"/>
        </w:rPr>
        <w:t xml:space="preserve">W ocenie PGW WP przy spełnieniu ww. warunków, realizacja inwestycji nie wpłynie na możliwość osiągnięcia celów środowiskowych o których jest mowa w art. 56, art. 57, art. 59 i art. 61 ustawy z dnia 20 lipca 2017 r. Prawo wodne, a ustanowionych  w „Planie gospodarowania wodami na obszarze dorzecza Odry", przyjętym rozporządzeniem Ministra infrastruktury z 16 listopada 2022 r. (Dz.U. 2023 r. poz. 335).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Proces wytwarzania rozcieńczonego siarczanu żelaza III i produkcji blend wiązał się będzie z występowaniem unosu kwasu siarkowego. Procesy prowadzone będą w zamkniętym mieszalniku i w czasie procesu następować będzie skroplenie oparów kwasu do wnętrza mieszalnika. Niewielka emisja kwasu do wnętrza hali odbywać się będzie tylko w trakcie otwierania zasuwy leja zasypowego i dozowania substancji do wnętrza mieszalnika. Gazy z wnętrza hali odprowadzane będą do powietrza za pomocą wentylacji grawitacyjnej. Proces dozowania granulatu siarczanu żelaza III do mieszalnika nie będzie wiązał się z występowaniem emisji pyłu. Granulat siarczanu żelaza III to twarde kuleczki, które nie ulegają destrukcji pod wpływem tarcia. Zasyp tego granulatu odbywał się będzie do wypełnionego wodą mieszalnika bezpośrednio z opakowania big-</w:t>
      </w:r>
      <w:proofErr w:type="spellStart"/>
      <w:r w:rsidRPr="00603BFB">
        <w:rPr>
          <w:rFonts w:cs="ArialMT"/>
          <w:sz w:val="20"/>
          <w:szCs w:val="20"/>
        </w:rPr>
        <w:t>bag</w:t>
      </w:r>
      <w:proofErr w:type="spellEnd"/>
      <w:r w:rsidRPr="00603BFB">
        <w:rPr>
          <w:rFonts w:cs="ArialMT"/>
          <w:sz w:val="20"/>
          <w:szCs w:val="20"/>
        </w:rPr>
        <w:t xml:space="preserve"> poprzez lej zasypowy.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 związku z realizacją planowanego przedsięwzięcia tylko nieznacznie wzrośnie ruch pojazdów ciężarowych po terenie zakładu (o 3 pojazdy/dobę), zatem nie nastąpi znaczący wzrost emisji zanieczyszczeń ze spalania paliw w środkach transportu </w:t>
      </w:r>
      <w:r w:rsidRPr="00603BFB">
        <w:rPr>
          <w:rFonts w:cs="ArialMT"/>
          <w:sz w:val="20"/>
          <w:szCs w:val="20"/>
        </w:rPr>
        <w:lastRenderedPageBreak/>
        <w:t>i oddziaływanie na jakość powietrza w tym zakresie. Hale są i w dalszym ciągu będą ogrzewane poprzez nagrzewnice zasilane ciepłem z sieci ciepłowniczej.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Biorąc pod uwagę powyższe, eksploatacja planowanego przedsięwzięcia nie wpłynie znacząco na jakość powietrza.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Najbliższy teren podlegający ochronie akustycznej to zabudowa mieszkaniowa jednorodzinna znajdująca się w odległości ok. 65 m na zachód od terenu zakładu i 105 m na zachód od hal, w których realizowane będzie przedsięwzięcie. Źródłem emisji hałasu będą tylko procesy prowadzone wewnątrz hali oraz ruch pojazdów. Nie planuje się żadnych stacjonarnych urządzeń pracujących w otwartej przestrzeni. Przedsięwzięcie eksploatowane będzie tylko w porze dnia.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Biorąc pod uwagę powyższe oraz to, że pomiędzy terenem przedsięwzięcia, a terenem chronionym akustycznie znajduje się wielokondygnacyjny budynek, a ilość pojazdów ciężarowych poruszających się po terenie zakładu wzrośnie o 3 pojazdy/dobę eksploatacja planowanego zamierzenia nie będzie miała wpływu na klimat akustyczny ww. terenu podlegającego ochronie.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Biorąc pod uwagę zakres przedsięwzięcia faza realizacji nie będzie źródłem istotnych emisji zanieczyszczeń do środowiska.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Na podstawie baz danych będących w posiadaniu Regionalnej Dyrekcji Ochrony Środowiska w Katowicach ustalono, że przedmiotowe przedsięwzięcie planowane jest do realizacji poza granicami wielkopowierzchniowych form ochrony przyrody, o których mowa w art. 6 ust. 1 Ustawy z dnia 16 kwietnia 2004 r. o ochronie przyrody, w tym poza granicami obszarów Natura 2000. Najbliżej położonym obszarem Natura 2000 są Podziemia Tarnogórsko-Bytomskie PLH240003 zlokalizowane ok. 12 km od granicy terenu inwestycji. Powyższy obszar został zatwierdzony decyzją Komisji Europejskiej 2008/25/WE z dnia 13 listopada 2007 r. i uznany jako obszar mający znaczenie dla Wspólnoty, a wyznaczony jako specjalny obszar ochrony siedlisk Rozporządzeniem Ministra Klimatu i Środowiska z dnia 25 marca 2022 r. w sprawie specjalnego obszaru ochrony siedlisk Podziemia Tarnogórsko-Bytomskie (PLH240003) (Dz. U. z 2022 r., poz. 910). Dla ww. obszaru plan zadań ochronnych ustanowiono w Zarządzeniu Regionalnego Dyrektora Ochrony Środowiska w Katowicach z dnia 24 kwietnia 2014 r. w sprawie ustanowienia planu zadań ochronnych dla obszaru Natura 2000 Podziemia Tarnogórsko-Bytomskie PLH240003 ze zmianami z dnia 18 maja 2015 r. i z dnia 20 lipca 2023 r. Przedmiotowa inwestycja ze względu na charakter, a w szczególności lokalizację nie będzie źródłem zidentyfikowanych zagrożeń dla przedmiotów ochrony, nie wpłynie na możliwość osiągnięcia celów działań ochronnych ani nie wpłynie na realizację zaplanowanych działań ochronnych. W związku z powyższym można wykluczyć możliwość negatywnego wpływu na siedliska i gatunki objęte ochroną w ramach sieci obszarów Natura 2000.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Inwestycja realizowan</w:t>
      </w:r>
      <w:r w:rsidR="00603BFB" w:rsidRPr="00603BFB">
        <w:rPr>
          <w:rFonts w:cs="ArialMT"/>
          <w:sz w:val="20"/>
          <w:szCs w:val="20"/>
        </w:rPr>
        <w:t>a</w:t>
      </w:r>
      <w:r w:rsidRPr="00603BFB">
        <w:rPr>
          <w:rFonts w:cs="ArialMT"/>
          <w:sz w:val="20"/>
          <w:szCs w:val="20"/>
        </w:rPr>
        <w:t xml:space="preserve"> będzie w środkowej części województwa śląskiego zatem nie występują tu obszary wybrzeży i środowisko morskie, ani tereny górskie. Ponadto na terenie, na którym realizowana będzie inwestycja i w jej sąsiedztwie nie występują: obszary leśne, obszary objęte ochroną, w tym strefy ochronne ujęć wód i obszary ochronne zbiorników wód śródlądowych,</w:t>
      </w:r>
      <w:r w:rsidRPr="00603BFB">
        <w:rPr>
          <w:rFonts w:cs="SymbolMT"/>
          <w:sz w:val="20"/>
          <w:szCs w:val="20"/>
        </w:rPr>
        <w:t xml:space="preserve"> </w:t>
      </w:r>
      <w:r w:rsidRPr="00603BFB">
        <w:rPr>
          <w:rFonts w:cs="ArialMT"/>
          <w:sz w:val="20"/>
          <w:szCs w:val="20"/>
        </w:rPr>
        <w:t>obszary przylegające do jezior,</w:t>
      </w:r>
      <w:r w:rsidRPr="00603BFB">
        <w:rPr>
          <w:rFonts w:cs="SymbolMT"/>
          <w:sz w:val="20"/>
          <w:szCs w:val="20"/>
        </w:rPr>
        <w:t xml:space="preserve"> </w:t>
      </w:r>
      <w:r w:rsidRPr="00603BFB">
        <w:rPr>
          <w:rFonts w:cs="ArialMT"/>
          <w:sz w:val="20"/>
          <w:szCs w:val="20"/>
        </w:rPr>
        <w:t>uzdrowiska i obszary ochrony uzdrowiskowej.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W sąsiedztwie terenu, na którym realizowane będzie planowane przedsięwzięcie znajduje się obiekt zabytkowy – kościół p.w. Świętej Rodziny. Biorąc pod uwagę skalę planowanego przedsięwzięcia i zidentyfikowane oddziaływania, ani realizacja, ani eksploatacja planowanej inwestycji nie będzie stanowiła zagrożenia dla tego zabytkowego obiektu.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Teren, na którym realizowane będzie przedsięwzięcie zlokalizowany jest w odległości ok. 43 km od granicy państwa, zatem biorąc pod uwagę rodzaj planowanego przedsięwzięcia i skalę oddziaływania, nie ma ryzyka wystąpienia transgranicznego oddziaływania na środowisko.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lastRenderedPageBreak/>
        <w:t>Z informacji przedstawionych w karcie informacyjnej przedsięwzięcia wynika, że nie będzie ryzyka kumulowania się oddziaływań planowanej inwestycji z innymi przedsięwzięciami.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Planowane przedsięwzięcie nie kwalifikuje się do rodzaju instalacji, dla których istnieje możliwość utworzenia obszaru ograniczonego użytkowania w rozumieniu przepisów ustawy z 27 kwietnia 2001 r. Prawo ochrony środowiska.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Zakład po zrealizowaniu planowanego przedsięwzięci</w:t>
      </w:r>
      <w:r w:rsidR="00603BFB" w:rsidRPr="00603BFB">
        <w:rPr>
          <w:rFonts w:cs="ArialMT"/>
          <w:sz w:val="20"/>
          <w:szCs w:val="20"/>
        </w:rPr>
        <w:t>a</w:t>
      </w:r>
      <w:r w:rsidRPr="00603BFB">
        <w:rPr>
          <w:rFonts w:cs="ArialMT"/>
          <w:sz w:val="20"/>
          <w:szCs w:val="20"/>
        </w:rPr>
        <w:t xml:space="preserve"> nie będzie się zaliczał do zakładów o zwiększonym lub dużym ryzyku wystąpienia poważnej awarii przemysłowej, o których mowa w ustawie z 27 kwietnia 2001 r. Prawo ochrony środowiska.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Na terenie, na którym realizowane będzie przedsięwzięcie nie przewiduje się możliwości wystąpienia katastrofy naturalnej. Ponadto z przedstawionych dokumentów wynika, że teren ten znajduje się poza obszarem narażonym na powódź rzeczną. 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Realizacja planowanego przedsięwzięcia zgodnie z obowiązującymi przepisami wyeliminuje możliwość wystąpienia katastrofy budowlanej.</w:t>
      </w: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Inwestycja na etapie realizacji oraz eksploatacji nie będzie miała wpływu na zmiany klimatu.</w:t>
      </w:r>
    </w:p>
    <w:p w:rsidR="00B66FE3" w:rsidRPr="00603BFB" w:rsidRDefault="00B66FE3" w:rsidP="00B66FE3">
      <w:pPr>
        <w:pStyle w:val="Tekst"/>
        <w:spacing w:before="120"/>
        <w:ind w:right="17" w:firstLine="425"/>
        <w:rPr>
          <w:sz w:val="20"/>
          <w:szCs w:val="20"/>
        </w:rPr>
      </w:pPr>
      <w:r w:rsidRPr="00603BFB">
        <w:rPr>
          <w:sz w:val="20"/>
          <w:szCs w:val="20"/>
        </w:rPr>
        <w:t xml:space="preserve">Ustalona liczba stron postępowania przekracza 10. Prezydent Miasta Gliwice, stosując zasadę wyrażoną w art. 10 § 1, art. 61 § 4 i art. 106 § 2 kpa zawiadomił strony o wszczęciu postępowania, o wystąpieniach do organów opiniujących, o możliwości zapoznania się z materiałem dowodowym w sprawie i umożliwił stronom czynny udział w postępowaniu na każdym jego etapie. Dostarczanie korespondencji do pełnomocnika wnioskodawcy dokonywane było zgodnie z art. 39 kpa za pokwitowaniem a do pozostałych ustalonych stron, ze względu na ich ilość przekraczającą 10, zgodnie z art. 74 ust. 3 ustawy OOŚ zastosowanie miał art. 49 kpa co oznacza, że strony te o czynnościach organu były zawiadamiane poprzez publiczne obwieszczenie. Zgodnie z art. 49 kpa organ uznał doręczenie za dokonane po upływie 14 dni, od dnia publicznego ogłoszenia. W wyznaczanych przez organ terminach strony nie złożyły uwag, wniosków ani żądań w sprawie. </w:t>
      </w:r>
    </w:p>
    <w:p w:rsidR="00B66FE3" w:rsidRPr="00603BFB" w:rsidRDefault="00B66FE3" w:rsidP="00B66FE3">
      <w:pPr>
        <w:pStyle w:val="Tekst"/>
        <w:ind w:firstLine="425"/>
        <w:rPr>
          <w:sz w:val="20"/>
          <w:szCs w:val="20"/>
        </w:rPr>
      </w:pPr>
      <w:r w:rsidRPr="00603BFB">
        <w:rPr>
          <w:sz w:val="20"/>
          <w:szCs w:val="20"/>
        </w:rPr>
        <w:t>Zgodnie z wymaganiami art. 21 ustawy OOŚ dane o wniosku i decyzji organ umieszcza w publicznie dostępnym wykazie danych o dokumentach o środowisku i jego ochronie, w Biuletynie Informacji Publicznej Urzędu Miejskiego w Gliwicach (BIP Gliwice). Zgodnie z art. 85 ust. 3 ustawy OOŚ, organ na okres 14 dni udostępnia treść decyzji w BIP Gliwice oraz podaje do publicznej wiadomości informację o wydaniu decyzji i możliwości zapoznania się z jej treścią i dokumentacją sprawy oraz o terminie udostępnienia treści decyzji w BIP Gliwice.</w:t>
      </w:r>
    </w:p>
    <w:p w:rsidR="00B66FE3" w:rsidRPr="00603BFB" w:rsidRDefault="00B66FE3" w:rsidP="00B66FE3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603BFB">
        <w:rPr>
          <w:rFonts w:ascii="Verdana" w:hAnsi="Verdana"/>
          <w:sz w:val="20"/>
          <w:szCs w:val="20"/>
        </w:rPr>
        <w:t xml:space="preserve">W związku z wypełnieniem przez Wnioskodawcę wymogów formalnych do uzyskania decyzji o środowiskowych uwarunkowaniach i uzyskaniu opinii właściwych organów oraz w wyniku analizy w oparciu o art. 63 ust. 1 ustawy OOŚ planowanego przedsięwzięcia we wszystkich aspektach środowiskowych, wskazującej na brak potrzeby przeprowadzenia oceny oddziaływania planowanego przedsięwzięcia na środowisko, zgodnie z art. 84 ust. 1 i ust. 1a ustawy OOŚ, orzeczono jak w sentencji decyzji. </w:t>
      </w:r>
    </w:p>
    <w:p w:rsidR="00B66FE3" w:rsidRPr="00603BFB" w:rsidRDefault="00B66FE3" w:rsidP="00EA53A3">
      <w:pPr>
        <w:pStyle w:val="Tekst"/>
        <w:keepNext/>
        <w:spacing w:before="120" w:after="120"/>
        <w:jc w:val="center"/>
        <w:rPr>
          <w:b/>
          <w:bCs/>
          <w:sz w:val="22"/>
          <w:szCs w:val="22"/>
        </w:rPr>
      </w:pPr>
      <w:r w:rsidRPr="00603BFB">
        <w:rPr>
          <w:b/>
          <w:bCs/>
          <w:sz w:val="22"/>
          <w:szCs w:val="22"/>
        </w:rPr>
        <w:t>Pouczenie</w:t>
      </w:r>
    </w:p>
    <w:p w:rsidR="00B66FE3" w:rsidRPr="00603BFB" w:rsidRDefault="00B66FE3" w:rsidP="00B66FE3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603BFB"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B66FE3" w:rsidRPr="00603BFB" w:rsidRDefault="00B66FE3" w:rsidP="00B66FE3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603BFB"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B66FE3" w:rsidRPr="00603BFB" w:rsidRDefault="00B66FE3" w:rsidP="00B66FE3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603BFB"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B66FE3" w:rsidRPr="00603BFB" w:rsidRDefault="00B66FE3" w:rsidP="00B66FE3">
      <w:pPr>
        <w:ind w:firstLine="425"/>
        <w:jc w:val="both"/>
        <w:rPr>
          <w:sz w:val="20"/>
          <w:szCs w:val="20"/>
        </w:rPr>
      </w:pPr>
      <w:r w:rsidRPr="00603BFB">
        <w:rPr>
          <w:sz w:val="20"/>
          <w:szCs w:val="20"/>
        </w:rPr>
        <w:lastRenderedPageBreak/>
        <w:t>Zgodnie z art. 130 § 4 Kpa decyzja podlega wykonaniu przed upływem terminu do wniesienia odwołania, jeżeli jest zgodna z żądaniem wszystkich stron lub jeżeli wszystkie strony zrzekły się prawa do wniesienia odwołania.</w:t>
      </w:r>
    </w:p>
    <w:p w:rsidR="00B66FE3" w:rsidRPr="00603BFB" w:rsidRDefault="00B66FE3" w:rsidP="00B66FE3">
      <w:pPr>
        <w:ind w:firstLine="425"/>
        <w:jc w:val="both"/>
        <w:rPr>
          <w:sz w:val="20"/>
          <w:szCs w:val="20"/>
        </w:rPr>
      </w:pPr>
      <w:r w:rsidRPr="00603BFB"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sześciu lat od dnia, w którym decyzja o środowiskowych uwarunkowaniach stała się ostateczna (art. 72 ust. 3 ustawy OOŚ), z zastrzeżeniem ust. 4 i 4b ustawy OOŚ. </w:t>
      </w:r>
    </w:p>
    <w:p w:rsidR="00B66FE3" w:rsidRPr="00603BFB" w:rsidRDefault="00B66FE3" w:rsidP="00EA53A3">
      <w:pPr>
        <w:autoSpaceDE w:val="0"/>
        <w:autoSpaceDN w:val="0"/>
        <w:adjustRightInd w:val="0"/>
        <w:spacing w:before="120" w:after="120"/>
        <w:ind w:right="17" w:firstLine="425"/>
        <w:jc w:val="both"/>
        <w:rPr>
          <w:bCs/>
          <w:sz w:val="18"/>
          <w:szCs w:val="18"/>
        </w:rPr>
      </w:pPr>
      <w:r w:rsidRPr="00603BFB">
        <w:rPr>
          <w:bCs/>
          <w:sz w:val="18"/>
          <w:szCs w:val="18"/>
        </w:rPr>
        <w:t xml:space="preserve">Za wydanie niniejszej decyzji pobrano opłatę skarbową w kwocie 205,00 zł </w:t>
      </w:r>
      <w:r w:rsidRPr="00603BFB">
        <w:rPr>
          <w:rFonts w:cs="ArialMT"/>
          <w:sz w:val="18"/>
          <w:szCs w:val="18"/>
        </w:rPr>
        <w:t>na podstawie zał. część I pkt 45 ustawy z dnia 16 listo</w:t>
      </w:r>
      <w:r w:rsidRPr="00603BFB">
        <w:rPr>
          <w:rFonts w:cs="Arial"/>
          <w:sz w:val="18"/>
          <w:szCs w:val="18"/>
        </w:rPr>
        <w:t xml:space="preserve">pada 2006 r. o </w:t>
      </w:r>
      <w:r w:rsidRPr="00603BFB">
        <w:rPr>
          <w:rFonts w:cs="ArialMT"/>
          <w:sz w:val="18"/>
          <w:szCs w:val="18"/>
        </w:rPr>
        <w:t xml:space="preserve">opłacie </w:t>
      </w:r>
      <w:r w:rsidRPr="00603BFB">
        <w:rPr>
          <w:rFonts w:cs="Arial"/>
          <w:sz w:val="18"/>
          <w:szCs w:val="18"/>
        </w:rPr>
        <w:t>skarbowej (j.t. Dz.U. z 2023 r. poz. 2111 ze zmianami).</w:t>
      </w:r>
      <w:r w:rsidRPr="00603BFB">
        <w:rPr>
          <w:bCs/>
          <w:sz w:val="18"/>
          <w:szCs w:val="18"/>
        </w:rPr>
        <w:t xml:space="preserve"> </w:t>
      </w:r>
    </w:p>
    <w:p w:rsidR="00B66FE3" w:rsidRPr="00603BFB" w:rsidRDefault="00B66FE3" w:rsidP="00B66FE3">
      <w:pPr>
        <w:ind w:right="17" w:hanging="142"/>
        <w:jc w:val="both"/>
        <w:rPr>
          <w:sz w:val="20"/>
          <w:szCs w:val="20"/>
        </w:rPr>
      </w:pPr>
      <w:r w:rsidRPr="00603BFB">
        <w:rPr>
          <w:bCs/>
          <w:sz w:val="20"/>
          <w:szCs w:val="20"/>
          <w:u w:val="single"/>
        </w:rPr>
        <w:t>Załącznik</w:t>
      </w:r>
      <w:r w:rsidRPr="00603BFB">
        <w:rPr>
          <w:sz w:val="20"/>
          <w:szCs w:val="20"/>
          <w:u w:val="single"/>
        </w:rPr>
        <w:t>:</w:t>
      </w:r>
    </w:p>
    <w:p w:rsidR="00B66FE3" w:rsidRPr="00603BFB" w:rsidRDefault="00B66FE3" w:rsidP="00B66FE3">
      <w:pPr>
        <w:ind w:right="17" w:hanging="142"/>
        <w:jc w:val="both"/>
        <w:rPr>
          <w:sz w:val="20"/>
          <w:szCs w:val="20"/>
        </w:rPr>
      </w:pPr>
      <w:r w:rsidRPr="00603BFB">
        <w:rPr>
          <w:sz w:val="20"/>
          <w:szCs w:val="20"/>
        </w:rPr>
        <w:t>1.  Charakterystyka przedsięwzięcia</w:t>
      </w:r>
    </w:p>
    <w:p w:rsidR="00B66FE3" w:rsidRPr="00603BFB" w:rsidRDefault="00B66FE3" w:rsidP="00B66FE3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66FE3" w:rsidRPr="00603BFB" w:rsidRDefault="00B66FE3" w:rsidP="00B66FE3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EA53A3" w:rsidRPr="00603BFB" w:rsidRDefault="00EA53A3" w:rsidP="00B66FE3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66FE3" w:rsidRPr="00603BFB" w:rsidRDefault="00B66FE3" w:rsidP="00B66FE3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8A4FC5" w:rsidRPr="00603BFB" w:rsidRDefault="008A4FC5" w:rsidP="00B66FE3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8A4FC5" w:rsidRPr="00603BFB" w:rsidRDefault="008A4FC5" w:rsidP="00B66FE3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8A4FC5" w:rsidRPr="00603BFB" w:rsidRDefault="008A4FC5" w:rsidP="00B66FE3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66FE3" w:rsidRPr="00603BFB" w:rsidRDefault="00B66FE3" w:rsidP="00B66FE3">
      <w:pPr>
        <w:ind w:left="284" w:hanging="284"/>
        <w:rPr>
          <w:b/>
          <w:bCs/>
          <w:sz w:val="18"/>
          <w:szCs w:val="18"/>
        </w:rPr>
      </w:pPr>
      <w:r w:rsidRPr="00603BFB">
        <w:rPr>
          <w:b/>
          <w:bCs/>
          <w:sz w:val="18"/>
          <w:szCs w:val="18"/>
        </w:rPr>
        <w:t>Otrzymują:</w:t>
      </w:r>
    </w:p>
    <w:p w:rsidR="00B66FE3" w:rsidRPr="00603BFB" w:rsidRDefault="00B66FE3" w:rsidP="00B66FE3">
      <w:pPr>
        <w:numPr>
          <w:ilvl w:val="0"/>
          <w:numId w:val="3"/>
        </w:numPr>
        <w:tabs>
          <w:tab w:val="clear" w:pos="720"/>
          <w:tab w:val="left" w:pos="284"/>
        </w:tabs>
        <w:ind w:left="284" w:right="17" w:hanging="284"/>
        <w:rPr>
          <w:sz w:val="18"/>
          <w:szCs w:val="18"/>
        </w:rPr>
      </w:pPr>
      <w:r w:rsidRPr="00603BFB">
        <w:rPr>
          <w:sz w:val="18"/>
          <w:szCs w:val="18"/>
        </w:rPr>
        <w:t xml:space="preserve">Pani Jarosław Tomczyk - pełnomocnik wnioskodawcy </w:t>
      </w:r>
      <w:r w:rsidRPr="00603BFB">
        <w:rPr>
          <w:sz w:val="18"/>
          <w:szCs w:val="18"/>
        </w:rPr>
        <w:br/>
      </w:r>
      <w:r w:rsidRPr="00603BFB">
        <w:rPr>
          <w:rFonts w:cs="Arial"/>
          <w:bCs/>
          <w:sz w:val="18"/>
          <w:szCs w:val="18"/>
        </w:rPr>
        <w:t>GRUPA WĘGLOSTAL Sp. z o.o. ul. Chorzowska 50B, 44-100 Gliwice</w:t>
      </w:r>
      <w:r w:rsidRPr="00603BFB">
        <w:rPr>
          <w:sz w:val="18"/>
          <w:szCs w:val="18"/>
        </w:rPr>
        <w:t xml:space="preserve"> </w:t>
      </w:r>
    </w:p>
    <w:p w:rsidR="00B66FE3" w:rsidRPr="00603BFB" w:rsidRDefault="00B66FE3" w:rsidP="00B66FE3">
      <w:pPr>
        <w:numPr>
          <w:ilvl w:val="0"/>
          <w:numId w:val="3"/>
        </w:numPr>
        <w:tabs>
          <w:tab w:val="clear" w:pos="720"/>
          <w:tab w:val="left" w:pos="284"/>
        </w:tabs>
        <w:ind w:left="284" w:right="17" w:hanging="284"/>
        <w:rPr>
          <w:sz w:val="18"/>
          <w:szCs w:val="18"/>
        </w:rPr>
      </w:pPr>
      <w:r w:rsidRPr="00603BFB">
        <w:rPr>
          <w:sz w:val="18"/>
          <w:szCs w:val="18"/>
        </w:rPr>
        <w:t>pozostałe strony postępowania poprzez publiczne obwieszczenie zgodnie z art. 49 k.p.a.</w:t>
      </w:r>
    </w:p>
    <w:p w:rsidR="00B66FE3" w:rsidRPr="00603BFB" w:rsidRDefault="00B66FE3" w:rsidP="00B66FE3">
      <w:pPr>
        <w:rPr>
          <w:b/>
          <w:sz w:val="18"/>
          <w:szCs w:val="18"/>
        </w:rPr>
      </w:pPr>
      <w:r w:rsidRPr="00603BFB">
        <w:rPr>
          <w:b/>
          <w:sz w:val="18"/>
          <w:szCs w:val="18"/>
        </w:rPr>
        <w:t xml:space="preserve">Kopia: </w:t>
      </w:r>
      <w:r w:rsidRPr="00603BFB">
        <w:rPr>
          <w:sz w:val="18"/>
          <w:szCs w:val="18"/>
        </w:rPr>
        <w:t xml:space="preserve">Wydział Środowiska </w:t>
      </w:r>
      <w:proofErr w:type="spellStart"/>
      <w:r w:rsidRPr="00603BFB">
        <w:rPr>
          <w:sz w:val="18"/>
          <w:szCs w:val="18"/>
        </w:rPr>
        <w:t>wm</w:t>
      </w:r>
      <w:proofErr w:type="spellEnd"/>
      <w:r w:rsidRPr="00603BFB">
        <w:rPr>
          <w:sz w:val="18"/>
          <w:szCs w:val="18"/>
        </w:rPr>
        <w:t>. – aa.</w:t>
      </w:r>
    </w:p>
    <w:p w:rsidR="00B66FE3" w:rsidRPr="00603BFB" w:rsidRDefault="00B66FE3" w:rsidP="00B66FE3">
      <w:pPr>
        <w:rPr>
          <w:b/>
          <w:sz w:val="18"/>
          <w:szCs w:val="18"/>
        </w:rPr>
      </w:pPr>
      <w:r w:rsidRPr="00603BFB">
        <w:rPr>
          <w:b/>
          <w:sz w:val="18"/>
          <w:szCs w:val="18"/>
        </w:rPr>
        <w:t>Do wiadomości:</w:t>
      </w:r>
    </w:p>
    <w:p w:rsidR="00B66FE3" w:rsidRPr="00603BFB" w:rsidRDefault="00B66FE3" w:rsidP="00B66FE3">
      <w:pPr>
        <w:numPr>
          <w:ilvl w:val="0"/>
          <w:numId w:val="3"/>
        </w:numPr>
        <w:tabs>
          <w:tab w:val="clear" w:pos="720"/>
          <w:tab w:val="left" w:pos="284"/>
        </w:tabs>
        <w:ind w:left="0" w:right="17" w:firstLine="0"/>
        <w:jc w:val="both"/>
        <w:rPr>
          <w:sz w:val="18"/>
          <w:szCs w:val="18"/>
        </w:rPr>
      </w:pPr>
      <w:r w:rsidRPr="00603BFB">
        <w:rPr>
          <w:sz w:val="18"/>
          <w:szCs w:val="18"/>
        </w:rPr>
        <w:t xml:space="preserve">Regionalny Dyrektor Ochrony Środowiska w Katowicach </w:t>
      </w:r>
      <w:proofErr w:type="spellStart"/>
      <w:r w:rsidRPr="00603BFB">
        <w:rPr>
          <w:sz w:val="18"/>
          <w:szCs w:val="18"/>
        </w:rPr>
        <w:t>ePUAP</w:t>
      </w:r>
      <w:proofErr w:type="spellEnd"/>
    </w:p>
    <w:p w:rsidR="00B66FE3" w:rsidRPr="00603BFB" w:rsidRDefault="00B66FE3" w:rsidP="00B66FE3">
      <w:pPr>
        <w:numPr>
          <w:ilvl w:val="0"/>
          <w:numId w:val="3"/>
        </w:numPr>
        <w:tabs>
          <w:tab w:val="clear" w:pos="720"/>
          <w:tab w:val="left" w:pos="284"/>
        </w:tabs>
        <w:ind w:left="0" w:right="17" w:firstLine="0"/>
        <w:jc w:val="both"/>
        <w:rPr>
          <w:sz w:val="18"/>
          <w:szCs w:val="18"/>
        </w:rPr>
      </w:pPr>
      <w:r w:rsidRPr="00603BFB">
        <w:rPr>
          <w:sz w:val="18"/>
          <w:szCs w:val="18"/>
        </w:rPr>
        <w:t xml:space="preserve">Państwowy Powiatowy Inspektor Sanitarny w Gliwicach </w:t>
      </w:r>
      <w:proofErr w:type="spellStart"/>
      <w:r w:rsidRPr="00603BFB">
        <w:rPr>
          <w:sz w:val="18"/>
          <w:szCs w:val="18"/>
        </w:rPr>
        <w:t>ePUAP</w:t>
      </w:r>
      <w:proofErr w:type="spellEnd"/>
    </w:p>
    <w:p w:rsidR="00B66FE3" w:rsidRPr="00603BFB" w:rsidRDefault="00B66FE3" w:rsidP="00B66FE3">
      <w:pPr>
        <w:numPr>
          <w:ilvl w:val="0"/>
          <w:numId w:val="3"/>
        </w:numPr>
        <w:tabs>
          <w:tab w:val="clear" w:pos="720"/>
          <w:tab w:val="left" w:pos="284"/>
        </w:tabs>
        <w:ind w:left="0" w:right="17" w:firstLine="0"/>
        <w:jc w:val="both"/>
        <w:rPr>
          <w:sz w:val="18"/>
          <w:szCs w:val="18"/>
        </w:rPr>
      </w:pPr>
      <w:r w:rsidRPr="00603BFB">
        <w:rPr>
          <w:sz w:val="18"/>
          <w:szCs w:val="18"/>
        </w:rPr>
        <w:t xml:space="preserve">Państwowe Gospodarstwo Wodne Wody Polskie Zarząd Zlewni w Gliwicach </w:t>
      </w:r>
      <w:proofErr w:type="spellStart"/>
      <w:r w:rsidRPr="00603BFB">
        <w:rPr>
          <w:sz w:val="18"/>
          <w:szCs w:val="18"/>
        </w:rPr>
        <w:t>ePUAP</w:t>
      </w:r>
      <w:proofErr w:type="spellEnd"/>
      <w:r w:rsidRPr="00603BFB">
        <w:rPr>
          <w:sz w:val="18"/>
          <w:szCs w:val="18"/>
        </w:rPr>
        <w:t xml:space="preserve"> </w:t>
      </w:r>
    </w:p>
    <w:p w:rsidR="00B66FE3" w:rsidRPr="00603BFB" w:rsidRDefault="00B66FE3" w:rsidP="00B66FE3">
      <w:pPr>
        <w:pStyle w:val="Tekst"/>
        <w:ind w:right="17" w:firstLine="425"/>
        <w:rPr>
          <w:sz w:val="20"/>
          <w:szCs w:val="20"/>
          <w:highlight w:val="yellow"/>
        </w:rPr>
      </w:pPr>
      <w:r w:rsidRPr="00603BFB">
        <w:rPr>
          <w:sz w:val="20"/>
          <w:szCs w:val="20"/>
          <w:highlight w:val="yellow"/>
        </w:rPr>
        <w:br w:type="column"/>
      </w:r>
    </w:p>
    <w:p w:rsidR="00B66FE3" w:rsidRPr="00603BFB" w:rsidRDefault="00B66FE3" w:rsidP="00B66FE3">
      <w:pPr>
        <w:ind w:right="17"/>
        <w:rPr>
          <w:sz w:val="20"/>
          <w:szCs w:val="20"/>
        </w:rPr>
      </w:pPr>
      <w:r w:rsidRPr="00603BFB">
        <w:rPr>
          <w:sz w:val="20"/>
          <w:szCs w:val="20"/>
        </w:rPr>
        <w:t>ŚR.6220.1.43.2024</w:t>
      </w:r>
      <w:r w:rsidRPr="00603BFB">
        <w:rPr>
          <w:sz w:val="20"/>
          <w:szCs w:val="20"/>
        </w:rPr>
        <w:tab/>
      </w:r>
    </w:p>
    <w:p w:rsidR="00B66FE3" w:rsidRPr="00603BFB" w:rsidRDefault="00B66FE3" w:rsidP="00B66FE3">
      <w:pPr>
        <w:ind w:right="17"/>
        <w:jc w:val="right"/>
        <w:rPr>
          <w:sz w:val="20"/>
          <w:szCs w:val="20"/>
        </w:rPr>
      </w:pPr>
      <w:r w:rsidRPr="00603BFB">
        <w:rPr>
          <w:sz w:val="20"/>
          <w:szCs w:val="20"/>
        </w:rPr>
        <w:t>Załącznik do decyzji</w:t>
      </w:r>
    </w:p>
    <w:p w:rsidR="00B66FE3" w:rsidRPr="00603BFB" w:rsidRDefault="00B66FE3" w:rsidP="00B66FE3">
      <w:pPr>
        <w:pStyle w:val="Tekstpodstawowywcity"/>
        <w:tabs>
          <w:tab w:val="right" w:pos="8079"/>
          <w:tab w:val="right" w:pos="9000"/>
        </w:tabs>
        <w:spacing w:after="0"/>
        <w:ind w:left="0" w:right="17"/>
        <w:jc w:val="right"/>
        <w:rPr>
          <w:rFonts w:ascii="Verdana" w:hAnsi="Verdana"/>
          <w:bCs/>
          <w:sz w:val="20"/>
          <w:szCs w:val="20"/>
        </w:rPr>
      </w:pPr>
      <w:r w:rsidRPr="00603BFB">
        <w:rPr>
          <w:rFonts w:ascii="Verdana" w:hAnsi="Verdana"/>
          <w:bCs/>
          <w:sz w:val="20"/>
          <w:szCs w:val="20"/>
        </w:rPr>
        <w:t>Prezydenta Miasta Gliwice</w:t>
      </w:r>
    </w:p>
    <w:p w:rsidR="00B66FE3" w:rsidRPr="00603BFB" w:rsidRDefault="00B66FE3" w:rsidP="00B66FE3">
      <w:pPr>
        <w:pStyle w:val="Tekstpodstawowywcity"/>
        <w:tabs>
          <w:tab w:val="right" w:pos="8079"/>
        </w:tabs>
        <w:spacing w:after="0"/>
        <w:ind w:left="0" w:right="17"/>
        <w:jc w:val="right"/>
        <w:rPr>
          <w:rFonts w:ascii="Verdana" w:hAnsi="Verdana"/>
          <w:bCs/>
          <w:sz w:val="20"/>
          <w:szCs w:val="20"/>
        </w:rPr>
      </w:pPr>
      <w:r w:rsidRPr="00603BFB">
        <w:rPr>
          <w:rFonts w:ascii="Verdana" w:hAnsi="Verdana"/>
          <w:bCs/>
          <w:sz w:val="20"/>
          <w:szCs w:val="20"/>
        </w:rPr>
        <w:t>Nr ŚR-</w:t>
      </w:r>
      <w:r w:rsidR="00603BFB" w:rsidRPr="00603BFB">
        <w:rPr>
          <w:rFonts w:ascii="Verdana" w:hAnsi="Verdana"/>
          <w:bCs/>
          <w:sz w:val="20"/>
          <w:szCs w:val="20"/>
        </w:rPr>
        <w:t>19</w:t>
      </w:r>
      <w:r w:rsidRPr="00603BFB">
        <w:rPr>
          <w:rFonts w:ascii="Verdana" w:hAnsi="Verdana"/>
          <w:bCs/>
          <w:sz w:val="20"/>
          <w:szCs w:val="20"/>
        </w:rPr>
        <w:t xml:space="preserve">/2025 z dnia </w:t>
      </w:r>
      <w:r w:rsidR="00234A3A" w:rsidRPr="00603BFB">
        <w:rPr>
          <w:rFonts w:ascii="Verdana" w:hAnsi="Verdana"/>
          <w:bCs/>
          <w:sz w:val="20"/>
          <w:szCs w:val="20"/>
        </w:rPr>
        <w:t>13</w:t>
      </w:r>
      <w:r w:rsidRPr="00603BFB">
        <w:rPr>
          <w:rFonts w:ascii="Verdana" w:hAnsi="Verdana"/>
          <w:bCs/>
          <w:sz w:val="20"/>
          <w:szCs w:val="20"/>
        </w:rPr>
        <w:t>.01.2025 r.</w:t>
      </w:r>
    </w:p>
    <w:p w:rsidR="00B66FE3" w:rsidRPr="00603BFB" w:rsidRDefault="00B66FE3" w:rsidP="00B66FE3">
      <w:pPr>
        <w:pStyle w:val="Nagwek1"/>
        <w:spacing w:before="120" w:after="0"/>
        <w:ind w:right="17"/>
        <w:rPr>
          <w:rFonts w:ascii="Verdana" w:hAnsi="Verdana"/>
          <w:sz w:val="20"/>
          <w:szCs w:val="20"/>
        </w:rPr>
      </w:pPr>
      <w:r w:rsidRPr="00603BFB">
        <w:rPr>
          <w:rFonts w:ascii="Verdana" w:hAnsi="Verdana"/>
          <w:sz w:val="20"/>
          <w:szCs w:val="20"/>
        </w:rPr>
        <w:t>Charakterystyka przedsięwzięcia</w:t>
      </w:r>
    </w:p>
    <w:p w:rsidR="00B66FE3" w:rsidRPr="00603BFB" w:rsidRDefault="00B66FE3" w:rsidP="00B66FE3">
      <w:pPr>
        <w:spacing w:before="120"/>
        <w:ind w:right="17"/>
        <w:jc w:val="both"/>
        <w:rPr>
          <w:bCs/>
          <w:sz w:val="20"/>
          <w:szCs w:val="20"/>
          <w:u w:val="single"/>
        </w:rPr>
      </w:pPr>
      <w:r w:rsidRPr="00603BFB">
        <w:rPr>
          <w:bCs/>
          <w:sz w:val="20"/>
          <w:szCs w:val="20"/>
          <w:u w:val="single"/>
        </w:rPr>
        <w:t>1.1 Nazwa przedsięwzięcia:</w:t>
      </w:r>
    </w:p>
    <w:p w:rsidR="00B66FE3" w:rsidRPr="00603BFB" w:rsidRDefault="00B66FE3" w:rsidP="00B66FE3">
      <w:pPr>
        <w:pStyle w:val="Tekstpodstawowy2"/>
        <w:tabs>
          <w:tab w:val="left" w:pos="-851"/>
        </w:tabs>
        <w:spacing w:before="120" w:line="240" w:lineRule="auto"/>
        <w:ind w:right="17"/>
        <w:jc w:val="both"/>
        <w:rPr>
          <w:sz w:val="20"/>
          <w:szCs w:val="20"/>
        </w:rPr>
      </w:pPr>
      <w:r w:rsidRPr="00603BFB">
        <w:rPr>
          <w:sz w:val="20"/>
          <w:szCs w:val="20"/>
        </w:rPr>
        <w:t xml:space="preserve">„Wdrożenie na rynek substancji i mieszanin wspomagających procesy oczyszczania ścieków oraz uzdatniania wody” - ul. Chorzowska 44C, Gliwice, dz. 179, </w:t>
      </w:r>
      <w:proofErr w:type="spellStart"/>
      <w:r w:rsidRPr="00603BFB">
        <w:rPr>
          <w:sz w:val="20"/>
          <w:szCs w:val="20"/>
        </w:rPr>
        <w:t>obr</w:t>
      </w:r>
      <w:proofErr w:type="spellEnd"/>
      <w:r w:rsidRPr="00603BFB">
        <w:rPr>
          <w:sz w:val="20"/>
          <w:szCs w:val="20"/>
        </w:rPr>
        <w:t>. Kolej</w:t>
      </w:r>
      <w:r w:rsidR="00EA53A3" w:rsidRPr="00603BFB">
        <w:rPr>
          <w:sz w:val="20"/>
          <w:szCs w:val="20"/>
        </w:rPr>
        <w:t>.</w:t>
      </w:r>
      <w:r w:rsidRPr="00603BFB">
        <w:rPr>
          <w:sz w:val="20"/>
          <w:szCs w:val="20"/>
        </w:rPr>
        <w:t xml:space="preserve"> </w:t>
      </w:r>
    </w:p>
    <w:p w:rsidR="00B66FE3" w:rsidRPr="00603BFB" w:rsidRDefault="00B66FE3" w:rsidP="00B66FE3">
      <w:pPr>
        <w:spacing w:before="120" w:after="120"/>
        <w:ind w:right="17"/>
        <w:jc w:val="both"/>
        <w:rPr>
          <w:bCs/>
          <w:sz w:val="20"/>
          <w:szCs w:val="20"/>
          <w:u w:val="single"/>
        </w:rPr>
      </w:pPr>
      <w:r w:rsidRPr="00603BFB">
        <w:rPr>
          <w:bCs/>
          <w:sz w:val="20"/>
          <w:szCs w:val="20"/>
          <w:u w:val="single"/>
        </w:rPr>
        <w:t>1.2 Charakterystyka przedsięwzięcia: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Przedsięwzięcie realizowane będzie w Gliwicach, na terenie zakładu GRUPA WĘGLOSTAL Sp. z o. o., przy ul. Chorzowskiej 44c, na części działki o numerze ewidencyjnym 179, obręb Kolej.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GRUPA WĘGLOSTAL Sp. z o.o. zajmuje się hurtową sprzedażą wyrobów chemicznych.</w:t>
      </w:r>
    </w:p>
    <w:p w:rsidR="001A48A0" w:rsidRPr="00603BFB" w:rsidRDefault="001A48A0" w:rsidP="001A48A0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Przedsięwzięcie polega na usytuowaniu instalacji i urządzeń wewnątrz istniejących obiektów. W chwili obecnej hale wykorzystywane są do magazynowania towarów, głównie siarczanu żelaza III, chlorku żelaza III, chlorku </w:t>
      </w:r>
      <w:proofErr w:type="spellStart"/>
      <w:r w:rsidRPr="00603BFB">
        <w:rPr>
          <w:rFonts w:cs="ArialMT"/>
          <w:sz w:val="20"/>
          <w:szCs w:val="20"/>
        </w:rPr>
        <w:t>poliglinu</w:t>
      </w:r>
      <w:proofErr w:type="spellEnd"/>
      <w:r w:rsidRPr="00603BFB">
        <w:rPr>
          <w:rFonts w:cs="ArialMT"/>
          <w:sz w:val="20"/>
          <w:szCs w:val="20"/>
        </w:rPr>
        <w:t xml:space="preserve"> oraz wodorotlenku sodu. Posadzka hal jest betonowa ze spływem do szczelnego zbiornika pod posadzką o pojemności 2,5 m</w:t>
      </w:r>
      <w:r w:rsidRPr="00603BFB">
        <w:rPr>
          <w:rFonts w:cs="ArialMT"/>
          <w:sz w:val="20"/>
          <w:szCs w:val="20"/>
          <w:vertAlign w:val="superscript"/>
        </w:rPr>
        <w:t>3</w:t>
      </w:r>
      <w:r w:rsidRPr="00603BFB">
        <w:rPr>
          <w:rFonts w:cs="ArialMT"/>
          <w:sz w:val="20"/>
          <w:szCs w:val="20"/>
        </w:rPr>
        <w:t xml:space="preserve">. Hale ogrzewane są poprzez nagrzewnice zasilane ciepłem z sieci ciepłowniczej. Hale posiadają wentylację grawitacyjną. </w:t>
      </w:r>
    </w:p>
    <w:p w:rsidR="001A48A0" w:rsidRPr="00603BFB" w:rsidRDefault="001A48A0" w:rsidP="001A48A0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 związku z realizacją przedsięwzięcia nie zmieni się zagospodarowanie terenu. Nie przewiduje się wykonania żadnych prac ziemnych oraz prac poza obrębem hal. </w:t>
      </w:r>
    </w:p>
    <w:p w:rsidR="00E2082F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Planowane przedsięwzięcie realizowane w dwóch istniejących, przylegających do siebie halach o powierzchni ok. 1300 m</w:t>
      </w:r>
      <w:r w:rsidRPr="00603BFB">
        <w:rPr>
          <w:rFonts w:cs="ArialMT"/>
          <w:sz w:val="20"/>
          <w:szCs w:val="20"/>
          <w:vertAlign w:val="superscript"/>
        </w:rPr>
        <w:t>2</w:t>
      </w:r>
      <w:r w:rsidRPr="00603BFB">
        <w:rPr>
          <w:rFonts w:cs="ArialMT"/>
          <w:sz w:val="20"/>
          <w:szCs w:val="20"/>
        </w:rPr>
        <w:t>, natomiast sama powierzchnia przedsięwzięcia będzie wynosiła ok. 400 m</w:t>
      </w:r>
      <w:r w:rsidRPr="00603BFB">
        <w:rPr>
          <w:rFonts w:cs="ArialMT"/>
          <w:sz w:val="20"/>
          <w:szCs w:val="20"/>
          <w:vertAlign w:val="superscript"/>
        </w:rPr>
        <w:t>2</w:t>
      </w:r>
      <w:r w:rsidRPr="00603BFB">
        <w:rPr>
          <w:rFonts w:cs="ArialMT"/>
          <w:sz w:val="20"/>
          <w:szCs w:val="20"/>
        </w:rPr>
        <w:t xml:space="preserve">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Planowane przedsięwzięcie obejmuje montaż wewnątrz istniejących hal instalacji, w skład której wchodzić będą:</w:t>
      </w:r>
    </w:p>
    <w:p w:rsidR="00B66FE3" w:rsidRPr="00603BFB" w:rsidRDefault="00B66FE3" w:rsidP="001A48A0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mieszalnik wraz z aparaturą,</w:t>
      </w:r>
    </w:p>
    <w:p w:rsidR="00B66FE3" w:rsidRPr="00603BFB" w:rsidRDefault="00B66FE3" w:rsidP="001A48A0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pompa ciepła,</w:t>
      </w:r>
    </w:p>
    <w:p w:rsidR="00B66FE3" w:rsidRPr="00603BFB" w:rsidRDefault="00B66FE3" w:rsidP="001A48A0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pompa elektryczna do załadunku autocystern,</w:t>
      </w:r>
    </w:p>
    <w:p w:rsidR="00B66FE3" w:rsidRPr="00603BFB" w:rsidRDefault="00B66FE3" w:rsidP="001A48A0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pompa pneumatyczna,</w:t>
      </w:r>
    </w:p>
    <w:p w:rsidR="00B66FE3" w:rsidRPr="00603BFB" w:rsidRDefault="00B66FE3" w:rsidP="00B66FE3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oraz wykonanie</w:t>
      </w:r>
      <w:r w:rsidR="009D6195" w:rsidRPr="00603BFB">
        <w:rPr>
          <w:rFonts w:cs="ArialMT"/>
          <w:sz w:val="20"/>
          <w:szCs w:val="20"/>
        </w:rPr>
        <w:t>:</w:t>
      </w:r>
      <w:r w:rsidRPr="00603BFB">
        <w:rPr>
          <w:rFonts w:cs="ArialMT"/>
          <w:sz w:val="20"/>
          <w:szCs w:val="20"/>
        </w:rPr>
        <w:t xml:space="preserve"> instalacji wodociągowej do zasilenia podgrzewacza wody, instalacji gorącej wody z podgrzewacza do mieszalnika, instalacji zrzutu towaru z mieszalnika.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Do transportu surowców po terenie przedsięwzięcia wykorzystywane będą wózki widłowe.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 projektowanej instalacji wytwarzane będą: płynny siarczan żelaza III, rozcieńczony wodorotlenek sodu oraz blendy.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Prognozowana wielkość produkcji:</w:t>
      </w:r>
    </w:p>
    <w:p w:rsidR="00B66FE3" w:rsidRPr="00603BFB" w:rsidRDefault="00B66FE3" w:rsidP="001A48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płynny siarczan żelaza III: 10 700 Mg/rok,</w:t>
      </w:r>
    </w:p>
    <w:p w:rsidR="00B66FE3" w:rsidRPr="00603BFB" w:rsidRDefault="00B66FE3" w:rsidP="001A48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rozcieńczony wodorotlenek sodu: 2 150 Mg/rok,</w:t>
      </w:r>
    </w:p>
    <w:p w:rsidR="00B66FE3" w:rsidRPr="00603BFB" w:rsidRDefault="00B66FE3" w:rsidP="001A48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603BFB">
        <w:rPr>
          <w:rFonts w:ascii="Verdana" w:hAnsi="Verdana" w:cs="ArialMT"/>
          <w:sz w:val="20"/>
          <w:szCs w:val="20"/>
        </w:rPr>
        <w:t>blendy: 72 Mg/rok.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W celu produkcji płynnego siarczanu żelaza III do mieszalnika zostanie wprowadzona woda w temperaturze 60°C oraz zasypany granulat siarczanu żelaza III. Proces mieszania będzie trwał 60 minut. Roztwór z mieszalnika transportowany będzie bezpośrednio do autocysterny.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Wodorotlenek sodu w postaci płynnego roztworu 50% rozcieńczany będzie w mieszalniku za pomocą wody do niższych stężeń (głównie 25-30%). Roztwór z mieszalnika transportowany będzie bezpośrednio do autocysterny.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lastRenderedPageBreak/>
        <w:t>Blendy wytwarzane będą w instalacji sporadycznie, wyłącznie na zamówienie klienta. Blendy powstawać będą w wyniku mieszania w mieszalniku koagulantu (1,2</w:t>
      </w:r>
      <w:r w:rsidR="00152737">
        <w:rPr>
          <w:rFonts w:cs="ArialMT"/>
          <w:sz w:val="20"/>
          <w:szCs w:val="20"/>
        </w:rPr>
        <w:noBreakHyphen/>
      </w:r>
      <w:r w:rsidR="00603BFB">
        <w:rPr>
          <w:rFonts w:cs="ArialMT"/>
          <w:sz w:val="20"/>
          <w:szCs w:val="20"/>
        </w:rPr>
        <w:t>e</w:t>
      </w:r>
      <w:r w:rsidRPr="00603BFB">
        <w:rPr>
          <w:rFonts w:cs="ArialMT"/>
          <w:sz w:val="20"/>
          <w:szCs w:val="20"/>
        </w:rPr>
        <w:t>tanodiamina, polimer z 2-(</w:t>
      </w:r>
      <w:proofErr w:type="spellStart"/>
      <w:r w:rsidRPr="00603BFB">
        <w:rPr>
          <w:rFonts w:cs="ArialMT"/>
          <w:sz w:val="20"/>
          <w:szCs w:val="20"/>
        </w:rPr>
        <w:t>chlorometylo</w:t>
      </w:r>
      <w:proofErr w:type="spellEnd"/>
      <w:r w:rsidRPr="00603BFB">
        <w:rPr>
          <w:rFonts w:cs="ArialMT"/>
          <w:sz w:val="20"/>
          <w:szCs w:val="20"/>
        </w:rPr>
        <w:t>)</w:t>
      </w:r>
      <w:proofErr w:type="spellStart"/>
      <w:r w:rsidRPr="00603BFB">
        <w:rPr>
          <w:rFonts w:cs="ArialMT"/>
          <w:sz w:val="20"/>
          <w:szCs w:val="20"/>
        </w:rPr>
        <w:t>oksiranem</w:t>
      </w:r>
      <w:proofErr w:type="spellEnd"/>
      <w:r w:rsidRPr="00603BFB">
        <w:rPr>
          <w:rFonts w:cs="ArialMT"/>
          <w:sz w:val="20"/>
          <w:szCs w:val="20"/>
        </w:rPr>
        <w:t xml:space="preserve"> i N-</w:t>
      </w:r>
      <w:proofErr w:type="spellStart"/>
      <w:r w:rsidRPr="00603BFB">
        <w:rPr>
          <w:rFonts w:cs="ArialMT"/>
          <w:sz w:val="20"/>
          <w:szCs w:val="20"/>
        </w:rPr>
        <w:t>metylometanoaminą</w:t>
      </w:r>
      <w:proofErr w:type="spellEnd"/>
      <w:r w:rsidRPr="00603BFB">
        <w:rPr>
          <w:rFonts w:cs="ArialMT"/>
          <w:sz w:val="20"/>
          <w:szCs w:val="20"/>
        </w:rPr>
        <w:t>) z flokulantem (płynny siarczan żelaza III). W przypadku produkcji blend, roztwór siarczanu żelaza III po wyprodukowaniu będzie pozostawiany w mieszalniku i do niego dodawany będzie koagulant lub roztwór ten będzie przepompowywany do mieszalnika z pojemników IB</w:t>
      </w:r>
      <w:bookmarkStart w:id="4" w:name="_GoBack"/>
      <w:bookmarkEnd w:id="4"/>
      <w:r w:rsidRPr="00603BFB">
        <w:rPr>
          <w:rFonts w:cs="ArialMT"/>
          <w:sz w:val="20"/>
          <w:szCs w:val="20"/>
        </w:rPr>
        <w:t>C, gdyż jest również kupowany przez Inwestora w postaci gotowego roztworu. Blendy bezpośrednio po wytworzeniu przekazywane będą zamawiającemu.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Załadunek cystern odbywał się będzie wewnątrz hali.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Substraty planowane do wykorzystania w procesach mieszania magazynowane będą na terenie hal w kontenerach IBC o pojemności 1 m</w:t>
      </w:r>
      <w:r w:rsidRPr="00603BFB">
        <w:rPr>
          <w:rFonts w:cs="ArialMT"/>
          <w:sz w:val="20"/>
          <w:szCs w:val="20"/>
          <w:vertAlign w:val="superscript"/>
        </w:rPr>
        <w:t>3</w:t>
      </w:r>
      <w:r w:rsidRPr="00603BFB">
        <w:rPr>
          <w:rFonts w:cs="ArialMT"/>
          <w:sz w:val="20"/>
          <w:szCs w:val="20"/>
        </w:rPr>
        <w:t xml:space="preserve">, a granulat siarczanu żelaza (III) będzie magazynowany w opakowaniach typu BIG BAG o masie 1 tony.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Woda wykorzystywana w procesie produkcyjnym pobierana będzie z przyłączy wodociągowych.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Gazy z wnętrza hali odprowadzane będą do powietrza za pomocą wentylacji grawitacyjnej.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Realizacja planowanego przedsięwzięcia nie wpłynie na sposób postępowania ze ściekami bytowymi i wodami opadowymi i roztopowymi.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 xml:space="preserve">Eksploatacja planowanego przedsięwzięcia nie będzie źródłem powstawania ścieków przemysłowych. Popłuczyny, które powstawać będą w wyniku czyszczenia instalacji z uwagi na zmianę produkowanej substancji będą magazynowane w pojemnikach IBC i następnie ponownie wykorzystywane w poszczególnych procesach.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Posadzka hal, w których zlokalizowane będzie planowane przedsięwzięcie jest betonowa ze spływem do szczelnego zbiornika znajdującego się pod posadzką o pojemności 2,5 m</w:t>
      </w:r>
      <w:r w:rsidRPr="00603BFB">
        <w:rPr>
          <w:rFonts w:cs="ArialMT"/>
          <w:sz w:val="20"/>
          <w:szCs w:val="20"/>
          <w:vertAlign w:val="superscript"/>
        </w:rPr>
        <w:t>3</w:t>
      </w:r>
      <w:r w:rsidRPr="00603BFB">
        <w:rPr>
          <w:rFonts w:cs="ArialMT"/>
          <w:sz w:val="20"/>
          <w:szCs w:val="20"/>
        </w:rPr>
        <w:t xml:space="preserve"> (obecnie hale wykorzystywane są do magazynowania towarów, głównie siarczanu żelaza III, chlorku żelaza III, chlorku </w:t>
      </w:r>
      <w:proofErr w:type="spellStart"/>
      <w:r w:rsidRPr="00603BFB">
        <w:rPr>
          <w:rFonts w:cs="ArialMT"/>
          <w:sz w:val="20"/>
          <w:szCs w:val="20"/>
        </w:rPr>
        <w:t>poliglinu</w:t>
      </w:r>
      <w:proofErr w:type="spellEnd"/>
      <w:r w:rsidRPr="00603BFB">
        <w:rPr>
          <w:rFonts w:cs="ArialMT"/>
          <w:sz w:val="20"/>
          <w:szCs w:val="20"/>
        </w:rPr>
        <w:t xml:space="preserve"> oraz wodorotlenku sodu). Wycieki powstałe w sytuacji awaryjnej odprowadzane będą do tego zbiornika. Dodatkowo hale wyposażone są w sorbenty do likwidacji ewentualnych pozostałości po wyciekach. </w:t>
      </w:r>
    </w:p>
    <w:p w:rsidR="00B66FE3" w:rsidRPr="00603BFB" w:rsidRDefault="00B66FE3" w:rsidP="00B66FE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603BFB">
        <w:rPr>
          <w:rFonts w:cs="ArialMT"/>
          <w:sz w:val="20"/>
          <w:szCs w:val="20"/>
        </w:rPr>
        <w:t>Planowana działalność nie będzie stanowiła zagrożenia dla środowiska ze względu na rodzaje i ilości wytwarzanych odpadów. Wszystkie wytwarzane odpady magazynowane będą selektywnie w wyznaczonych miejscach. Odpady przekazywane będą następnie do odzysku lub unieszkodliwiania specjalistycznym firmom zewnętrznym – zgodnie z przepisami prawa.</w:t>
      </w:r>
    </w:p>
    <w:p w:rsidR="00B66FE3" w:rsidRPr="00603BFB" w:rsidRDefault="00B66FE3" w:rsidP="00B66FE3">
      <w:pPr>
        <w:tabs>
          <w:tab w:val="left" w:pos="567"/>
        </w:tabs>
        <w:spacing w:before="120"/>
        <w:jc w:val="both"/>
        <w:rPr>
          <w:rFonts w:cs="Arial"/>
          <w:sz w:val="20"/>
          <w:szCs w:val="20"/>
        </w:rPr>
      </w:pPr>
      <w:r w:rsidRPr="00603BFB">
        <w:rPr>
          <w:rFonts w:cs="Arial"/>
          <w:sz w:val="20"/>
          <w:szCs w:val="20"/>
        </w:rPr>
        <w:t>Obecnie po terenie zakładu porusza się ok. 9 pojazdów ciężkich na dobę. W wyniku realizacji przedsięwzięcia zwiększy się ruch pojazdów ciężkich o maksymalnie 3 pojazdy ciężkie na dobę w porze dziennej. W związku z przedsięwzięciem nie przewiduje się wzrostu ruchu pojazdów osobowych.</w:t>
      </w:r>
    </w:p>
    <w:p w:rsidR="00B66FE3" w:rsidRPr="00603BFB" w:rsidRDefault="00B66FE3" w:rsidP="00B66FE3">
      <w:pPr>
        <w:autoSpaceDE w:val="0"/>
        <w:adjustRightInd w:val="0"/>
        <w:spacing w:before="120"/>
        <w:jc w:val="both"/>
        <w:rPr>
          <w:rFonts w:cs="Arial"/>
          <w:sz w:val="20"/>
          <w:szCs w:val="20"/>
        </w:rPr>
      </w:pPr>
      <w:r w:rsidRPr="00603BFB">
        <w:rPr>
          <w:rFonts w:cs="Arial"/>
          <w:sz w:val="20"/>
          <w:szCs w:val="20"/>
        </w:rPr>
        <w:t>Zakład pracuje w porze dziennej  5 dni w tygodniu. W związku z przedsięwzięciem nie zmieni się wielkość zatrudnienia w stosunku do stanu obecnego.</w:t>
      </w:r>
    </w:p>
    <w:p w:rsidR="00B66FE3" w:rsidRPr="00603BFB" w:rsidRDefault="00B66FE3" w:rsidP="00B66F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66FE3" w:rsidRPr="00603BFB" w:rsidRDefault="00B66FE3" w:rsidP="00B66FE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</w:p>
    <w:p w:rsidR="00047720" w:rsidRPr="00603BFB" w:rsidRDefault="00047720" w:rsidP="00B66FE3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603BFB" w:rsidSect="008A4FC5">
      <w:headerReference w:type="default" r:id="rId8"/>
      <w:headerReference w:type="first" r:id="rId9"/>
      <w:footerReference w:type="first" r:id="rId10"/>
      <w:pgSz w:w="11907" w:h="16840" w:code="9"/>
      <w:pgMar w:top="1702" w:right="1418" w:bottom="1560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EB" w:rsidRDefault="00F01DEB">
      <w:r>
        <w:separator/>
      </w:r>
    </w:p>
  </w:endnote>
  <w:endnote w:type="continuationSeparator" w:id="0">
    <w:p w:rsidR="00F01DEB" w:rsidRDefault="00F0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charset w:val="EE"/>
    <w:family w:val="swiss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EB" w:rsidRDefault="00F01DEB">
      <w:r>
        <w:separator/>
      </w:r>
    </w:p>
  </w:footnote>
  <w:footnote w:type="continuationSeparator" w:id="0">
    <w:p w:rsidR="00F01DEB" w:rsidRDefault="00F0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121" w:rsidRPr="00507121" w:rsidRDefault="00507121">
    <w:pPr>
      <w:pStyle w:val="Nagwek"/>
      <w:jc w:val="center"/>
      <w:rPr>
        <w:sz w:val="20"/>
        <w:szCs w:val="20"/>
      </w:rPr>
    </w:pPr>
    <w:r w:rsidRPr="00507121">
      <w:rPr>
        <w:sz w:val="20"/>
        <w:szCs w:val="20"/>
      </w:rPr>
      <w:fldChar w:fldCharType="begin"/>
    </w:r>
    <w:r w:rsidRPr="00507121">
      <w:rPr>
        <w:sz w:val="20"/>
        <w:szCs w:val="20"/>
      </w:rPr>
      <w:instrText>PAGE   \* MERGEFORMAT</w:instrText>
    </w:r>
    <w:r w:rsidRPr="00507121">
      <w:rPr>
        <w:sz w:val="20"/>
        <w:szCs w:val="20"/>
      </w:rPr>
      <w:fldChar w:fldCharType="separate"/>
    </w:r>
    <w:r w:rsidRPr="00507121">
      <w:rPr>
        <w:sz w:val="20"/>
        <w:szCs w:val="20"/>
      </w:rPr>
      <w:t>2</w:t>
    </w:r>
    <w:r w:rsidRPr="00507121">
      <w:rPr>
        <w:sz w:val="20"/>
        <w:szCs w:val="20"/>
      </w:rPr>
      <w:fldChar w:fldCharType="end"/>
    </w:r>
  </w:p>
  <w:p w:rsidR="00507121" w:rsidRDefault="005071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F01DEB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12D"/>
    <w:multiLevelType w:val="hybridMultilevel"/>
    <w:tmpl w:val="3588115A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A38"/>
    <w:multiLevelType w:val="hybridMultilevel"/>
    <w:tmpl w:val="A31E4FC2"/>
    <w:lvl w:ilvl="0" w:tplc="BDB2CA66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71C6"/>
    <w:multiLevelType w:val="hybridMultilevel"/>
    <w:tmpl w:val="F3E2EAA8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E21A89"/>
    <w:multiLevelType w:val="hybridMultilevel"/>
    <w:tmpl w:val="8398BD7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D613C"/>
    <w:multiLevelType w:val="hybridMultilevel"/>
    <w:tmpl w:val="E62015B2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32DBE"/>
    <w:multiLevelType w:val="hybridMultilevel"/>
    <w:tmpl w:val="D6DE9588"/>
    <w:lvl w:ilvl="0" w:tplc="078E318C">
      <w:start w:val="1"/>
      <w:numFmt w:val="upperRoman"/>
      <w:lvlText w:val="%1."/>
      <w:lvlJc w:val="left"/>
      <w:pPr>
        <w:tabs>
          <w:tab w:val="num" w:pos="0"/>
        </w:tabs>
        <w:ind w:left="1222" w:hanging="360"/>
      </w:pPr>
      <w:rPr>
        <w:rFonts w:hint="default"/>
      </w:rPr>
    </w:lvl>
    <w:lvl w:ilvl="1" w:tplc="7B387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8542A">
      <w:start w:val="8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MT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415C0"/>
    <w:multiLevelType w:val="hybridMultilevel"/>
    <w:tmpl w:val="136EB19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2737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A48A0"/>
    <w:rsid w:val="001B3243"/>
    <w:rsid w:val="001B71BC"/>
    <w:rsid w:val="001D2797"/>
    <w:rsid w:val="001F1FD5"/>
    <w:rsid w:val="001F5D93"/>
    <w:rsid w:val="00220A49"/>
    <w:rsid w:val="002265CF"/>
    <w:rsid w:val="002311F9"/>
    <w:rsid w:val="00234A3A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15A00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07121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03BFB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18D8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A4FC5"/>
    <w:rsid w:val="008E5516"/>
    <w:rsid w:val="00901419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D6195"/>
    <w:rsid w:val="009E3C5F"/>
    <w:rsid w:val="009F0ED9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055C"/>
    <w:rsid w:val="00B44E8B"/>
    <w:rsid w:val="00B47328"/>
    <w:rsid w:val="00B51F5E"/>
    <w:rsid w:val="00B53C9F"/>
    <w:rsid w:val="00B541B7"/>
    <w:rsid w:val="00B61D45"/>
    <w:rsid w:val="00B66981"/>
    <w:rsid w:val="00B66FE3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57CE"/>
    <w:rsid w:val="00BE7486"/>
    <w:rsid w:val="00BF19D2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697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82F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53A3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1DEB"/>
    <w:rsid w:val="00F02846"/>
    <w:rsid w:val="00F10A86"/>
    <w:rsid w:val="00F30EE4"/>
    <w:rsid w:val="00F32F62"/>
    <w:rsid w:val="00F35042"/>
    <w:rsid w:val="00F3729F"/>
    <w:rsid w:val="00F62292"/>
    <w:rsid w:val="00F638AD"/>
    <w:rsid w:val="00F70D28"/>
    <w:rsid w:val="00F711A0"/>
    <w:rsid w:val="00F72E7A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5D03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07C98F"/>
  <w15:docId w15:val="{178CD643-5FBA-4697-BC14-C04CA36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B66F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B66FE3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uiPriority w:val="99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66F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B66F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B66FE3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link w:val="Tekstpodstawowy"/>
    <w:rsid w:val="00B66FE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66FE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B66FE3"/>
    <w:rPr>
      <w:sz w:val="24"/>
      <w:szCs w:val="24"/>
    </w:rPr>
  </w:style>
  <w:style w:type="character" w:customStyle="1" w:styleId="TekstZnak">
    <w:name w:val="Tekst Znak"/>
    <w:link w:val="Tekst"/>
    <w:locked/>
    <w:rsid w:val="00B66FE3"/>
    <w:rPr>
      <w:kern w:val="2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66FE3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B66F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F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66FE3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B66FE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66FE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W-Tekstpodstawowywcity3">
    <w:name w:val="WW-Tekst podstawowy wci?ty 3"/>
    <w:basedOn w:val="Normalny"/>
    <w:rsid w:val="00B66FE3"/>
    <w:pPr>
      <w:widowControl w:val="0"/>
      <w:tabs>
        <w:tab w:val="left" w:pos="567"/>
      </w:tabs>
      <w:suppressAutoHyphens/>
      <w:spacing w:after="200" w:line="360" w:lineRule="auto"/>
      <w:ind w:left="120" w:firstLine="1"/>
      <w:jc w:val="both"/>
    </w:pPr>
    <w:rPr>
      <w:rFonts w:ascii="Tahoma" w:eastAsia="Arial Unicode MS" w:hAnsi="Tahoma" w:cs="Tahoma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4588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decyzja_bez_oos_43.docx</vt:lpstr>
    </vt:vector>
  </TitlesOfParts>
  <Company>Urząd Miejski w Gliwicach</Company>
  <LinksUpToDate>false</LinksUpToDate>
  <CharactersWithSpaces>32058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decyzja_bez_oos_43.docx</dc:title>
  <dc:subject/>
  <dc:creator>ANNA SOCHA</dc:creator>
  <cp:keywords/>
  <dc:description/>
  <cp:lastModifiedBy>Socha Anna</cp:lastModifiedBy>
  <cp:revision>10</cp:revision>
  <cp:lastPrinted>2025-01-13T14:27:00Z</cp:lastPrinted>
  <dcterms:created xsi:type="dcterms:W3CDTF">2025-01-09T12:15:00Z</dcterms:created>
  <dcterms:modified xsi:type="dcterms:W3CDTF">2025-01-13T14:32:00Z</dcterms:modified>
</cp:coreProperties>
</file>