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6F" w:rsidRDefault="00D6606F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D6606F" w:rsidRDefault="00D6606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D6606F" w:rsidRPr="008A06BC" w:rsidRDefault="00D6606F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D6606F" w:rsidRPr="00AE24D0" w:rsidRDefault="00D6606F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>SPRAWOZDANIE Z WYKONANIA ZADANIA PUBLICZNEGO,</w:t>
      </w:r>
    </w:p>
    <w:p w:rsidR="00D6606F" w:rsidRPr="007F534A" w:rsidRDefault="00D6606F" w:rsidP="007F534A">
      <w:pPr>
        <w:jc w:val="center"/>
        <w:rPr>
          <w:rFonts w:ascii="Calibri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2018 R. POZ. 450, Z PÓŹN. ZM.)</w:t>
      </w:r>
    </w:p>
    <w:p w:rsidR="00D6606F" w:rsidRPr="00AE24D0" w:rsidRDefault="00D6606F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D6606F" w:rsidRPr="007F534A" w:rsidRDefault="00D6606F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Końcowe*”</w:t>
      </w:r>
      <w:r>
        <w:rPr>
          <w:rFonts w:ascii="Calibri" w:hAnsi="Calibri" w:cs="Calibri"/>
          <w:bCs/>
          <w:sz w:val="20"/>
          <w:szCs w:val="20"/>
        </w:rPr>
        <w:t>,</w:t>
      </w:r>
      <w:r w:rsidRPr="00AE24D0">
        <w:rPr>
          <w:rFonts w:ascii="Calibri" w:hAnsi="Calibr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AE24D0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AE24D0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</w:t>
      </w:r>
      <w:r w:rsidRPr="00AE24D0">
        <w:rPr>
          <w:rFonts w:ascii="Calibri" w:hAnsi="Calibri" w:cs="Calibri"/>
          <w:bCs/>
          <w:sz w:val="20"/>
          <w:szCs w:val="20"/>
        </w:rPr>
        <w:t>”.</w:t>
      </w:r>
    </w:p>
    <w:p w:rsidR="00D6606F" w:rsidRPr="00AE24D0" w:rsidRDefault="00D6606F" w:rsidP="001D76D7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954"/>
      </w:tblGrid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8A06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606F" w:rsidRPr="00AE24D0" w:rsidRDefault="00D6606F" w:rsidP="00E327C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71"/>
        <w:gridCol w:w="3049"/>
        <w:gridCol w:w="2693"/>
      </w:tblGrid>
      <w:tr w:rsidR="00D6606F" w:rsidRPr="00AE24D0" w:rsidTr="00311754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43E6D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6606F" w:rsidRPr="00AE24D0" w:rsidTr="00311754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="Calibri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10C06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D6606F" w:rsidRPr="00AE24D0" w:rsidTr="00311754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6606F" w:rsidRPr="00AE24D0" w:rsidRDefault="00D6606F" w:rsidP="00743E6D">
            <w:pPr>
              <w:spacing w:before="240" w:after="2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311754">
        <w:tc>
          <w:tcPr>
            <w:tcW w:w="10774" w:type="dxa"/>
            <w:shd w:val="clear" w:color="auto" w:fill="C4BC96"/>
          </w:tcPr>
          <w:p w:rsidR="00D6606F" w:rsidRPr="00E5364C" w:rsidRDefault="00D6606F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9632D6">
            <w:pPr>
              <w:rPr>
                <w:rFonts w:ascii="Calibri" w:hAnsi="Calibri" w:cs="Calibri"/>
              </w:rPr>
            </w:pPr>
          </w:p>
          <w:p w:rsidR="00D6606F" w:rsidRDefault="00D6606F" w:rsidP="009632D6">
            <w:pPr>
              <w:rPr>
                <w:rFonts w:ascii="Calibri" w:hAnsi="Calibri" w:cs="Calibri"/>
              </w:rPr>
            </w:pPr>
          </w:p>
          <w:p w:rsidR="00D6606F" w:rsidRPr="00AE24D0" w:rsidRDefault="00D6606F" w:rsidP="009632D6">
            <w:pPr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="Calibri" w:hAnsi="Calibr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</w:tc>
      </w:tr>
      <w:tr w:rsidR="00D6606F" w:rsidRPr="00AE24D0" w:rsidTr="00984692"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E5364C">
              <w:rPr>
                <w:rFonts w:ascii="Calibri" w:hAnsi="Calibri" w:cs="Arial"/>
              </w:rPr>
              <w:t xml:space="preserve"> </w:t>
            </w: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3676"/>
        <w:gridCol w:w="2112"/>
        <w:gridCol w:w="2409"/>
      </w:tblGrid>
      <w:tr w:rsidR="00D6606F" w:rsidRPr="003A2508" w:rsidTr="00E5364C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D6606F" w:rsidRPr="00E5364C" w:rsidRDefault="00D6606F" w:rsidP="00E5364C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E5364C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6606F" w:rsidRPr="003A2508" w:rsidTr="00E5364C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D6606F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6606F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6606F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6606F" w:rsidRPr="009632D6" w:rsidRDefault="00D6606F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6606F" w:rsidRPr="00AE24D0" w:rsidRDefault="00D6606F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4A3C7C" w:rsidRDefault="00D6606F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6606F" w:rsidRPr="00AE24D0" w:rsidRDefault="00D6606F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D6606F" w:rsidRPr="00AE24D0" w:rsidRDefault="00D6606F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6606F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Default="00D6606F" w:rsidP="00B246BA">
            <w:pPr>
              <w:rPr>
                <w:rFonts w:ascii="Calibri" w:hAnsi="Calibri" w:cs="Calibri"/>
                <w:sz w:val="20"/>
              </w:rPr>
            </w:pPr>
          </w:p>
          <w:p w:rsidR="00D6606F" w:rsidRPr="00AE24D0" w:rsidRDefault="00D6606F" w:rsidP="00B246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6606F" w:rsidRPr="00AE24D0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6606F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6606F" w:rsidRPr="00AE24D0" w:rsidRDefault="00D6606F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6606F" w:rsidRPr="00AE24D0" w:rsidTr="00984692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6606F" w:rsidRPr="00AE24D0" w:rsidRDefault="00D6606F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606F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6606F" w:rsidRPr="00AE24D0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Calibri" w:hAnsi="Calibri" w:cs="Verdana"/>
          <w:color w:val="auto"/>
          <w:sz w:val="20"/>
          <w:szCs w:val="20"/>
        </w:rPr>
        <w:t>c</w:t>
      </w:r>
      <w:r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="Calibri" w:hAnsi="Calibri" w:cs="Verdana"/>
          <w:color w:val="auto"/>
          <w:sz w:val="20"/>
          <w:szCs w:val="20"/>
        </w:rPr>
        <w:t>);</w:t>
      </w:r>
    </w:p>
    <w:p w:rsidR="00D6606F" w:rsidRPr="00AE24D0" w:rsidRDefault="00D6606F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</w:tblGrid>
      <w:tr w:rsidR="00D6606F" w:rsidRPr="00AE24D0" w:rsidTr="00311754">
        <w:tc>
          <w:tcPr>
            <w:tcW w:w="7654" w:type="dxa"/>
          </w:tcPr>
          <w:p w:rsidR="00D6606F" w:rsidRPr="00AE24D0" w:rsidRDefault="00D6606F" w:rsidP="00743E6D">
            <w:pPr>
              <w:ind w:right="-108"/>
              <w:jc w:val="both"/>
              <w:rPr>
                <w:rFonts w:ascii="Calibri" w:hAnsi="Calibri" w:cs="Calibri"/>
                <w:sz w:val="20"/>
              </w:rPr>
            </w:pP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D6606F" w:rsidRPr="00AE24D0" w:rsidRDefault="00D6606F" w:rsidP="00CE4C51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D6606F" w:rsidRPr="009E7A2C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22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D6606F" w:rsidRPr="00AE24D0" w:rsidRDefault="00D6606F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D6606F" w:rsidRPr="00221B7F" w:rsidRDefault="00D6606F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POUCZENIE</w:t>
      </w:r>
    </w:p>
    <w:p w:rsidR="00D6606F" w:rsidRPr="00221B7F" w:rsidRDefault="00D6606F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D6606F" w:rsidRPr="00AE24D0" w:rsidRDefault="00D6606F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/>
          <w:color w:val="auto"/>
          <w:sz w:val="16"/>
          <w:szCs w:val="16"/>
        </w:rPr>
        <w:t>7</w:t>
      </w:r>
      <w:r w:rsidRPr="00221B7F">
        <w:rPr>
          <w:rFonts w:ascii="Calibri" w:hAnsi="Calibri"/>
          <w:color w:val="auto"/>
          <w:sz w:val="16"/>
          <w:szCs w:val="16"/>
        </w:rPr>
        <w:t xml:space="preserve"> r. poz. </w:t>
      </w:r>
      <w:r>
        <w:rPr>
          <w:rFonts w:ascii="Calibri" w:hAnsi="Calibri"/>
          <w:color w:val="auto"/>
          <w:sz w:val="16"/>
          <w:szCs w:val="16"/>
        </w:rPr>
        <w:t>570</w:t>
      </w:r>
      <w:r w:rsidRPr="00221B7F">
        <w:rPr>
          <w:rFonts w:ascii="Calibri" w:hAnsi="Calibri"/>
          <w:color w:val="auto"/>
          <w:sz w:val="16"/>
          <w:szCs w:val="16"/>
        </w:rPr>
        <w:t xml:space="preserve">, </w:t>
      </w:r>
      <w:r>
        <w:rPr>
          <w:rFonts w:ascii="Calibri" w:hAnsi="Calibri"/>
          <w:color w:val="auto"/>
          <w:sz w:val="16"/>
          <w:szCs w:val="16"/>
        </w:rPr>
        <w:br/>
      </w:r>
      <w:r w:rsidRPr="00221B7F">
        <w:rPr>
          <w:rFonts w:ascii="Calibri" w:hAnsi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D6606F" w:rsidRPr="00AE24D0" w:rsidRDefault="00D6606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D6606F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69" w:rsidRDefault="00EA7569">
      <w:r>
        <w:separator/>
      </w:r>
    </w:p>
  </w:endnote>
  <w:endnote w:type="continuationSeparator" w:id="0">
    <w:p w:rsidR="00EA7569" w:rsidRDefault="00EA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6F" w:rsidRPr="00E923BC" w:rsidRDefault="00D6606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D6606F" w:rsidRDefault="00D66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69" w:rsidRDefault="00EA7569">
      <w:r>
        <w:separator/>
      </w:r>
    </w:p>
  </w:footnote>
  <w:footnote w:type="continuationSeparator" w:id="0">
    <w:p w:rsidR="00EA7569" w:rsidRDefault="00EA7569">
      <w:r>
        <w:continuationSeparator/>
      </w:r>
    </w:p>
  </w:footnote>
  <w:footnote w:id="1">
    <w:p w:rsidR="00D6606F" w:rsidRDefault="00D6606F" w:rsidP="00DE2E4C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D6606F" w:rsidRDefault="00D6606F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C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BF1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4E11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2A6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583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0695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6A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606F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263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64C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569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08F16-C889-4A0E-83E9-34976BF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40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340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340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F21E6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Kancelaria Prezydenta RP</dc:creator>
  <cp:keywords/>
  <dc:description/>
  <cp:lastModifiedBy>Bączkiewicz Bernadeta</cp:lastModifiedBy>
  <cp:revision>2</cp:revision>
  <cp:lastPrinted>2018-10-09T16:18:00Z</cp:lastPrinted>
  <dcterms:created xsi:type="dcterms:W3CDTF">2021-08-24T10:48:00Z</dcterms:created>
  <dcterms:modified xsi:type="dcterms:W3CDTF">2021-08-24T10:48:00Z</dcterms:modified>
</cp:coreProperties>
</file>